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94F25" w14:textId="78E1AB60" w:rsidR="00CA5B4C" w:rsidRPr="00E01FE8" w:rsidRDefault="00515201" w:rsidP="00515201">
      <w:pPr>
        <w:pStyle w:val="Titre"/>
      </w:pPr>
      <w:bookmarkStart w:id="0" w:name="_GoBack"/>
      <w:r w:rsidRPr="00515201">
        <w:t>Évaluations et accommodements – Étudiants en situation de handicap</w:t>
      </w:r>
      <w:r w:rsidRPr="00515201">
        <w:rPr>
          <w:rFonts w:ascii="Calibri" w:eastAsiaTheme="minorHAnsi" w:hAnsi="Calibri" w:cs="Calibri"/>
          <w:b/>
          <w:bCs/>
          <w:color w:val="000000"/>
          <w:spacing w:val="0"/>
          <w:kern w:val="0"/>
          <w:sz w:val="22"/>
          <w:szCs w:val="22"/>
        </w:rPr>
        <w:t xml:space="preserve"> </w:t>
      </w:r>
    </w:p>
    <w:p w14:paraId="2F45173D" w14:textId="64A89E0E" w:rsidR="00515201" w:rsidRPr="00515201" w:rsidRDefault="00515201" w:rsidP="00515201">
      <w:pPr>
        <w:autoSpaceDE w:val="0"/>
        <w:autoSpaceDN w:val="0"/>
        <w:adjustRightInd w:val="0"/>
        <w:spacing w:after="0" w:line="240" w:lineRule="auto"/>
        <w:jc w:val="left"/>
        <w:rPr>
          <w:rFonts w:ascii="Calibri" w:hAnsi="Calibri" w:cs="Calibri"/>
          <w:color w:val="000000"/>
          <w:sz w:val="24"/>
          <w:szCs w:val="24"/>
        </w:rPr>
      </w:pPr>
      <w:bookmarkStart w:id="1" w:name="_Toc37063922"/>
      <w:bookmarkEnd w:id="0"/>
    </w:p>
    <w:p w14:paraId="0899478B" w14:textId="77777777" w:rsidR="00515201" w:rsidRPr="00515201" w:rsidRDefault="00515201" w:rsidP="00515201">
      <w:pPr>
        <w:autoSpaceDE w:val="0"/>
        <w:autoSpaceDN w:val="0"/>
        <w:adjustRightInd w:val="0"/>
        <w:spacing w:after="0" w:line="240" w:lineRule="auto"/>
        <w:jc w:val="left"/>
        <w:rPr>
          <w:rFonts w:ascii="Calibri" w:hAnsi="Calibri" w:cs="Calibri"/>
          <w:color w:val="000000"/>
          <w:sz w:val="24"/>
          <w:szCs w:val="24"/>
        </w:rPr>
      </w:pPr>
      <w:r w:rsidRPr="00515201">
        <w:rPr>
          <w:rFonts w:ascii="Calibri" w:hAnsi="Calibri" w:cs="Calibri"/>
          <w:color w:val="000000"/>
          <w:sz w:val="24"/>
          <w:szCs w:val="24"/>
        </w:rPr>
        <w:t xml:space="preserve"> </w:t>
      </w:r>
    </w:p>
    <w:p w14:paraId="7B5A64CD" w14:textId="659E0EE8" w:rsidR="00515201" w:rsidRPr="00515201" w:rsidRDefault="00515201" w:rsidP="00515201">
      <w:pPr>
        <w:pStyle w:val="Paragraphedeliste"/>
        <w:numPr>
          <w:ilvl w:val="0"/>
          <w:numId w:val="9"/>
        </w:numPr>
        <w:autoSpaceDE w:val="0"/>
        <w:autoSpaceDN w:val="0"/>
        <w:adjustRightInd w:val="0"/>
        <w:spacing w:after="0" w:line="240" w:lineRule="auto"/>
        <w:jc w:val="left"/>
        <w:rPr>
          <w:rFonts w:ascii="Calibri" w:hAnsi="Calibri" w:cs="Calibri"/>
          <w:b/>
          <w:bCs/>
          <w:color w:val="000000"/>
        </w:rPr>
      </w:pPr>
      <w:r w:rsidRPr="00515201">
        <w:rPr>
          <w:rFonts w:ascii="Calibri" w:hAnsi="Calibri" w:cs="Calibri"/>
          <w:b/>
          <w:bCs/>
          <w:color w:val="000000"/>
        </w:rPr>
        <w:t xml:space="preserve">J’offre plus de temps à l’ensemble de mes étudiants afin de tenir compte de la situation particulière que nous vivons. Dois-je quand même accorder du temps supplémentaire aux étudiants en situation de handicap? </w:t>
      </w:r>
    </w:p>
    <w:p w14:paraId="7BAEBA43" w14:textId="77777777" w:rsidR="00515201" w:rsidRPr="00515201" w:rsidRDefault="00515201" w:rsidP="00515201">
      <w:pPr>
        <w:autoSpaceDE w:val="0"/>
        <w:autoSpaceDN w:val="0"/>
        <w:adjustRightInd w:val="0"/>
        <w:spacing w:after="0" w:line="240" w:lineRule="auto"/>
        <w:jc w:val="left"/>
        <w:rPr>
          <w:rFonts w:ascii="Calibri" w:hAnsi="Calibri" w:cs="Calibri"/>
          <w:color w:val="000000"/>
        </w:rPr>
      </w:pPr>
    </w:p>
    <w:p w14:paraId="55DA0D59" w14:textId="30467994" w:rsidR="00515201" w:rsidRDefault="00515201" w:rsidP="00515201">
      <w:pPr>
        <w:autoSpaceDE w:val="0"/>
        <w:autoSpaceDN w:val="0"/>
        <w:adjustRightInd w:val="0"/>
        <w:spacing w:after="0" w:line="240" w:lineRule="auto"/>
        <w:ind w:left="708"/>
        <w:jc w:val="left"/>
        <w:rPr>
          <w:rFonts w:ascii="Calibri" w:hAnsi="Calibri" w:cs="Calibri"/>
          <w:color w:val="000000"/>
        </w:rPr>
      </w:pPr>
      <w:r w:rsidRPr="00515201">
        <w:rPr>
          <w:rFonts w:ascii="Calibri" w:hAnsi="Calibri" w:cs="Calibri"/>
          <w:color w:val="000000"/>
        </w:rPr>
        <w:t xml:space="preserve">Oui, du temps supplémentaire doit être offert à toutes les personnes pour lesquelles cet accommodement est identifié, </w:t>
      </w:r>
      <w:proofErr w:type="gramStart"/>
      <w:r w:rsidRPr="00515201">
        <w:rPr>
          <w:rFonts w:ascii="Calibri" w:hAnsi="Calibri" w:cs="Calibri"/>
          <w:color w:val="000000"/>
        </w:rPr>
        <w:t>de manière à ce</w:t>
      </w:r>
      <w:proofErr w:type="gramEnd"/>
      <w:r w:rsidRPr="00515201">
        <w:rPr>
          <w:rFonts w:ascii="Calibri" w:hAnsi="Calibri" w:cs="Calibri"/>
          <w:color w:val="000000"/>
        </w:rPr>
        <w:t xml:space="preserve"> qu’elles ne soient pas pénalisées par la situation. </w:t>
      </w:r>
    </w:p>
    <w:p w14:paraId="1AB2FF3B" w14:textId="77777777" w:rsidR="00515201" w:rsidRPr="00515201" w:rsidRDefault="00515201" w:rsidP="00515201">
      <w:pPr>
        <w:autoSpaceDE w:val="0"/>
        <w:autoSpaceDN w:val="0"/>
        <w:adjustRightInd w:val="0"/>
        <w:spacing w:after="0" w:line="240" w:lineRule="auto"/>
        <w:ind w:left="708"/>
        <w:jc w:val="left"/>
        <w:rPr>
          <w:rFonts w:ascii="Calibri" w:hAnsi="Calibri" w:cs="Calibri"/>
          <w:color w:val="000000"/>
        </w:rPr>
      </w:pPr>
    </w:p>
    <w:p w14:paraId="293EF95B" w14:textId="5D0C7C40" w:rsidR="00515201" w:rsidRPr="00515201" w:rsidRDefault="00515201" w:rsidP="00515201">
      <w:pPr>
        <w:pStyle w:val="Paragraphedeliste"/>
        <w:numPr>
          <w:ilvl w:val="0"/>
          <w:numId w:val="9"/>
        </w:numPr>
        <w:autoSpaceDE w:val="0"/>
        <w:autoSpaceDN w:val="0"/>
        <w:adjustRightInd w:val="0"/>
        <w:spacing w:after="0" w:line="240" w:lineRule="auto"/>
        <w:jc w:val="left"/>
        <w:rPr>
          <w:rFonts w:ascii="Calibri" w:hAnsi="Calibri" w:cs="Calibri"/>
          <w:color w:val="000000"/>
        </w:rPr>
      </w:pPr>
      <w:r w:rsidRPr="00515201">
        <w:rPr>
          <w:rFonts w:ascii="Calibri" w:hAnsi="Calibri" w:cs="Calibri"/>
          <w:b/>
          <w:bCs/>
          <w:color w:val="000000"/>
        </w:rPr>
        <w:t xml:space="preserve">Comment est-il possible de gérer l’accommodement qui consiste à accorder du temps supplémentaire lors d’une évaluation proposée sur </w:t>
      </w:r>
      <w:proofErr w:type="spellStart"/>
      <w:r w:rsidRPr="00515201">
        <w:rPr>
          <w:rFonts w:ascii="Calibri" w:hAnsi="Calibri" w:cs="Calibri"/>
          <w:b/>
          <w:bCs/>
          <w:color w:val="000000"/>
        </w:rPr>
        <w:t>monPortail</w:t>
      </w:r>
      <w:proofErr w:type="spellEnd"/>
      <w:r w:rsidRPr="00515201">
        <w:rPr>
          <w:rFonts w:ascii="Calibri" w:hAnsi="Calibri" w:cs="Calibri"/>
          <w:b/>
          <w:bCs/>
          <w:color w:val="000000"/>
        </w:rPr>
        <w:t xml:space="preserve">? </w:t>
      </w:r>
    </w:p>
    <w:p w14:paraId="6FF0F2B8" w14:textId="77777777" w:rsidR="00515201" w:rsidRPr="00515201" w:rsidRDefault="00515201" w:rsidP="00515201">
      <w:pPr>
        <w:autoSpaceDE w:val="0"/>
        <w:autoSpaceDN w:val="0"/>
        <w:adjustRightInd w:val="0"/>
        <w:spacing w:after="0" w:line="240" w:lineRule="auto"/>
        <w:jc w:val="left"/>
        <w:rPr>
          <w:rFonts w:ascii="Calibri" w:hAnsi="Calibri" w:cs="Calibri"/>
          <w:color w:val="000000"/>
        </w:rPr>
      </w:pPr>
    </w:p>
    <w:p w14:paraId="099C74CF" w14:textId="5FF64A75" w:rsidR="00515201" w:rsidRDefault="00515201" w:rsidP="00515201">
      <w:pPr>
        <w:autoSpaceDE w:val="0"/>
        <w:autoSpaceDN w:val="0"/>
        <w:adjustRightInd w:val="0"/>
        <w:spacing w:after="0" w:line="240" w:lineRule="auto"/>
        <w:ind w:left="708"/>
        <w:jc w:val="left"/>
        <w:rPr>
          <w:rFonts w:ascii="Calibri" w:hAnsi="Calibri" w:cs="Calibri"/>
          <w:color w:val="000000"/>
        </w:rPr>
      </w:pPr>
      <w:r w:rsidRPr="00515201">
        <w:rPr>
          <w:rFonts w:ascii="Calibri" w:hAnsi="Calibri" w:cs="Calibri"/>
          <w:color w:val="000000"/>
        </w:rPr>
        <w:t xml:space="preserve">Pour savoir comment ajouter le temps alloué pour une évaluation sur </w:t>
      </w:r>
      <w:proofErr w:type="spellStart"/>
      <w:r w:rsidRPr="00515201">
        <w:rPr>
          <w:rFonts w:ascii="Calibri" w:hAnsi="Calibri" w:cs="Calibri"/>
          <w:color w:val="000000"/>
        </w:rPr>
        <w:t>monPortail</w:t>
      </w:r>
      <w:proofErr w:type="spellEnd"/>
      <w:r w:rsidRPr="00515201">
        <w:rPr>
          <w:rFonts w:ascii="Calibri" w:hAnsi="Calibri" w:cs="Calibri"/>
          <w:color w:val="000000"/>
        </w:rPr>
        <w:t xml:space="preserve">, suivre le lien </w:t>
      </w:r>
      <w:r w:rsidRPr="00515201">
        <w:rPr>
          <w:rFonts w:ascii="Calibri" w:hAnsi="Calibri" w:cs="Calibri"/>
          <w:color w:val="0462C1"/>
        </w:rPr>
        <w:t>Personnaliser la date de remise par étudiant</w:t>
      </w:r>
      <w:r w:rsidRPr="00515201">
        <w:rPr>
          <w:rFonts w:ascii="Calibri" w:hAnsi="Calibri" w:cs="Calibri"/>
          <w:color w:val="000000"/>
        </w:rPr>
        <w:t xml:space="preserve">. </w:t>
      </w:r>
    </w:p>
    <w:p w14:paraId="0693440C" w14:textId="77777777" w:rsidR="00515201" w:rsidRPr="00515201" w:rsidRDefault="00515201" w:rsidP="00515201">
      <w:pPr>
        <w:autoSpaceDE w:val="0"/>
        <w:autoSpaceDN w:val="0"/>
        <w:adjustRightInd w:val="0"/>
        <w:spacing w:after="0" w:line="240" w:lineRule="auto"/>
        <w:ind w:left="708"/>
        <w:jc w:val="left"/>
        <w:rPr>
          <w:rFonts w:ascii="Calibri" w:hAnsi="Calibri" w:cs="Calibri"/>
          <w:color w:val="000000"/>
        </w:rPr>
      </w:pPr>
    </w:p>
    <w:p w14:paraId="5239D555" w14:textId="1594991D" w:rsidR="00515201" w:rsidRDefault="00515201" w:rsidP="00515201">
      <w:pPr>
        <w:autoSpaceDE w:val="0"/>
        <w:autoSpaceDN w:val="0"/>
        <w:adjustRightInd w:val="0"/>
        <w:spacing w:after="0" w:line="240" w:lineRule="auto"/>
        <w:ind w:left="708"/>
        <w:jc w:val="left"/>
        <w:rPr>
          <w:rFonts w:ascii="Calibri" w:hAnsi="Calibri" w:cs="Calibri"/>
          <w:color w:val="000000"/>
        </w:rPr>
      </w:pPr>
      <w:r w:rsidRPr="00515201">
        <w:rPr>
          <w:rFonts w:ascii="Calibri" w:hAnsi="Calibri" w:cs="Calibri"/>
          <w:color w:val="000000"/>
        </w:rPr>
        <w:t xml:space="preserve">Dans le cas d’un examen de type questionnaire, la procédure pour ajuster le temps alloué à un étudiant est décrite au lien </w:t>
      </w:r>
      <w:r w:rsidRPr="00515201">
        <w:rPr>
          <w:rFonts w:ascii="Calibri" w:hAnsi="Calibri" w:cs="Calibri"/>
          <w:color w:val="0462C1"/>
        </w:rPr>
        <w:t>Ajuster le temps pour un candidat à besoin particulier</w:t>
      </w:r>
      <w:r w:rsidRPr="00515201">
        <w:rPr>
          <w:rFonts w:ascii="Calibri" w:hAnsi="Calibri" w:cs="Calibri"/>
          <w:color w:val="000000"/>
        </w:rPr>
        <w:t xml:space="preserve">. </w:t>
      </w:r>
    </w:p>
    <w:p w14:paraId="00C2B9D1" w14:textId="77777777" w:rsidR="00515201" w:rsidRPr="00515201" w:rsidRDefault="00515201" w:rsidP="00515201">
      <w:pPr>
        <w:autoSpaceDE w:val="0"/>
        <w:autoSpaceDN w:val="0"/>
        <w:adjustRightInd w:val="0"/>
        <w:spacing w:after="0" w:line="240" w:lineRule="auto"/>
        <w:ind w:left="708"/>
        <w:jc w:val="left"/>
        <w:rPr>
          <w:rFonts w:ascii="Calibri" w:hAnsi="Calibri" w:cs="Calibri"/>
          <w:color w:val="000000"/>
        </w:rPr>
      </w:pPr>
    </w:p>
    <w:p w14:paraId="0FB9F732" w14:textId="6BC91081" w:rsidR="00515201" w:rsidRPr="00515201" w:rsidRDefault="00515201" w:rsidP="00515201">
      <w:pPr>
        <w:pStyle w:val="Paragraphedeliste"/>
        <w:numPr>
          <w:ilvl w:val="0"/>
          <w:numId w:val="9"/>
        </w:numPr>
        <w:autoSpaceDE w:val="0"/>
        <w:autoSpaceDN w:val="0"/>
        <w:adjustRightInd w:val="0"/>
        <w:spacing w:after="0" w:line="240" w:lineRule="auto"/>
        <w:jc w:val="left"/>
        <w:rPr>
          <w:rFonts w:ascii="Calibri" w:hAnsi="Calibri" w:cs="Calibri"/>
          <w:color w:val="000000"/>
        </w:rPr>
      </w:pPr>
      <w:r w:rsidRPr="00515201">
        <w:rPr>
          <w:rFonts w:ascii="Calibri" w:hAnsi="Calibri" w:cs="Calibri"/>
          <w:b/>
          <w:bCs/>
          <w:color w:val="000000"/>
        </w:rPr>
        <w:t xml:space="preserve">L’un des accommodements consentis consiste à permettre à la personne évaluée de faire des pauses. Comment peut-on gérer cela sur </w:t>
      </w:r>
      <w:proofErr w:type="spellStart"/>
      <w:r w:rsidRPr="00515201">
        <w:rPr>
          <w:rFonts w:ascii="Calibri" w:hAnsi="Calibri" w:cs="Calibri"/>
          <w:b/>
          <w:bCs/>
          <w:color w:val="000000"/>
        </w:rPr>
        <w:t>monPortail</w:t>
      </w:r>
      <w:proofErr w:type="spellEnd"/>
      <w:r w:rsidRPr="00515201">
        <w:rPr>
          <w:rFonts w:ascii="Calibri" w:hAnsi="Calibri" w:cs="Calibri"/>
          <w:b/>
          <w:bCs/>
          <w:color w:val="000000"/>
        </w:rPr>
        <w:t xml:space="preserve">? </w:t>
      </w:r>
    </w:p>
    <w:p w14:paraId="6C4D006B" w14:textId="77777777" w:rsidR="00515201" w:rsidRPr="00515201" w:rsidRDefault="00515201" w:rsidP="00515201">
      <w:pPr>
        <w:autoSpaceDE w:val="0"/>
        <w:autoSpaceDN w:val="0"/>
        <w:adjustRightInd w:val="0"/>
        <w:spacing w:after="0" w:line="240" w:lineRule="auto"/>
        <w:jc w:val="left"/>
        <w:rPr>
          <w:rFonts w:ascii="Calibri" w:hAnsi="Calibri" w:cs="Calibri"/>
          <w:color w:val="000000"/>
        </w:rPr>
      </w:pPr>
    </w:p>
    <w:p w14:paraId="6115FF1B" w14:textId="495F36F4" w:rsidR="00515201" w:rsidRDefault="00515201" w:rsidP="00515201">
      <w:pPr>
        <w:autoSpaceDE w:val="0"/>
        <w:autoSpaceDN w:val="0"/>
        <w:adjustRightInd w:val="0"/>
        <w:spacing w:after="0" w:line="240" w:lineRule="auto"/>
        <w:ind w:left="708"/>
        <w:jc w:val="left"/>
        <w:rPr>
          <w:rFonts w:ascii="Calibri" w:hAnsi="Calibri" w:cs="Calibri"/>
          <w:color w:val="000000"/>
        </w:rPr>
      </w:pPr>
      <w:r w:rsidRPr="00515201">
        <w:rPr>
          <w:rFonts w:ascii="Calibri" w:hAnsi="Calibri" w:cs="Calibri"/>
          <w:color w:val="000000"/>
        </w:rPr>
        <w:t xml:space="preserve">Si la durée du questionnaire est limitée, le décompte n’arrête pas même si on ferme la fenêtre du questionnaire. L’enseignant doit donc ajouter un tiers de temps supplémentaire au temps alloué à une personne évaluée ayant pour accommodement des pauses autorisées de manière à intégrer ces pauses dans le temps alloué pour une </w:t>
      </w:r>
      <w:r w:rsidRPr="00515201">
        <w:rPr>
          <w:rFonts w:ascii="Calibri" w:hAnsi="Calibri" w:cs="Calibri"/>
          <w:color w:val="0462C1"/>
        </w:rPr>
        <w:t xml:space="preserve">évaluation sur </w:t>
      </w:r>
      <w:proofErr w:type="spellStart"/>
      <w:r w:rsidRPr="00515201">
        <w:rPr>
          <w:rFonts w:ascii="Calibri" w:hAnsi="Calibri" w:cs="Calibri"/>
          <w:color w:val="0462C1"/>
        </w:rPr>
        <w:t>monPortail</w:t>
      </w:r>
      <w:proofErr w:type="spellEnd"/>
      <w:r w:rsidRPr="00515201">
        <w:rPr>
          <w:rFonts w:ascii="Calibri" w:hAnsi="Calibri" w:cs="Calibri"/>
          <w:color w:val="0462C1"/>
        </w:rPr>
        <w:t xml:space="preserve"> </w:t>
      </w:r>
      <w:r w:rsidRPr="00515201">
        <w:rPr>
          <w:rFonts w:ascii="Calibri" w:hAnsi="Calibri" w:cs="Calibri"/>
          <w:color w:val="000000"/>
        </w:rPr>
        <w:t xml:space="preserve">ou pour un </w:t>
      </w:r>
      <w:r w:rsidRPr="00515201">
        <w:rPr>
          <w:rFonts w:ascii="Calibri" w:hAnsi="Calibri" w:cs="Calibri"/>
          <w:color w:val="0462C1"/>
        </w:rPr>
        <w:t>examen de type questionnaire</w:t>
      </w:r>
      <w:r w:rsidRPr="00515201">
        <w:rPr>
          <w:rFonts w:ascii="Calibri" w:hAnsi="Calibri" w:cs="Calibri"/>
          <w:color w:val="000000"/>
        </w:rPr>
        <w:t xml:space="preserve">. </w:t>
      </w:r>
    </w:p>
    <w:p w14:paraId="64CC190A" w14:textId="77777777" w:rsidR="00515201" w:rsidRPr="00515201" w:rsidRDefault="00515201" w:rsidP="00515201">
      <w:pPr>
        <w:autoSpaceDE w:val="0"/>
        <w:autoSpaceDN w:val="0"/>
        <w:adjustRightInd w:val="0"/>
        <w:spacing w:after="0" w:line="240" w:lineRule="auto"/>
        <w:ind w:left="708"/>
        <w:jc w:val="left"/>
        <w:rPr>
          <w:rFonts w:ascii="Calibri" w:hAnsi="Calibri" w:cs="Calibri"/>
          <w:color w:val="000000"/>
        </w:rPr>
      </w:pPr>
    </w:p>
    <w:p w14:paraId="23E8A0ED" w14:textId="37210416" w:rsidR="00515201" w:rsidRPr="00515201" w:rsidRDefault="00515201" w:rsidP="00515201">
      <w:pPr>
        <w:pStyle w:val="Paragraphedeliste"/>
        <w:numPr>
          <w:ilvl w:val="0"/>
          <w:numId w:val="9"/>
        </w:numPr>
        <w:autoSpaceDE w:val="0"/>
        <w:autoSpaceDN w:val="0"/>
        <w:adjustRightInd w:val="0"/>
        <w:spacing w:after="0" w:line="240" w:lineRule="auto"/>
        <w:jc w:val="left"/>
        <w:rPr>
          <w:rFonts w:ascii="Calibri" w:hAnsi="Calibri" w:cs="Calibri"/>
          <w:color w:val="000000"/>
        </w:rPr>
      </w:pPr>
      <w:r w:rsidRPr="00515201">
        <w:rPr>
          <w:rFonts w:ascii="Calibri" w:hAnsi="Calibri" w:cs="Calibri"/>
          <w:b/>
          <w:bCs/>
          <w:color w:val="000000"/>
        </w:rPr>
        <w:t xml:space="preserve">J’ai une étudiante qui utilise la synthèse vocale. Que puis-je faire pour m’assurer que mon examen lui permette d’utiliser cet outil? </w:t>
      </w:r>
    </w:p>
    <w:p w14:paraId="2E727014" w14:textId="77777777" w:rsidR="00515201" w:rsidRPr="00515201" w:rsidRDefault="00515201" w:rsidP="00515201">
      <w:pPr>
        <w:autoSpaceDE w:val="0"/>
        <w:autoSpaceDN w:val="0"/>
        <w:adjustRightInd w:val="0"/>
        <w:spacing w:after="0" w:line="240" w:lineRule="auto"/>
        <w:jc w:val="left"/>
        <w:rPr>
          <w:rFonts w:ascii="Calibri" w:hAnsi="Calibri" w:cs="Calibri"/>
          <w:color w:val="000000"/>
        </w:rPr>
      </w:pPr>
    </w:p>
    <w:p w14:paraId="774269C8" w14:textId="19DBC6C3" w:rsidR="00515201" w:rsidRDefault="00515201" w:rsidP="00515201">
      <w:pPr>
        <w:autoSpaceDE w:val="0"/>
        <w:autoSpaceDN w:val="0"/>
        <w:adjustRightInd w:val="0"/>
        <w:spacing w:after="0" w:line="240" w:lineRule="auto"/>
        <w:ind w:left="708"/>
        <w:jc w:val="left"/>
        <w:rPr>
          <w:rFonts w:ascii="Calibri" w:hAnsi="Calibri" w:cs="Calibri"/>
          <w:color w:val="000000"/>
        </w:rPr>
      </w:pPr>
      <w:r w:rsidRPr="00515201">
        <w:rPr>
          <w:rFonts w:ascii="Calibri" w:hAnsi="Calibri" w:cs="Calibri"/>
          <w:color w:val="000000"/>
        </w:rPr>
        <w:t xml:space="preserve">Dans le cas d’un examen en ligne, votre étudiante peut copier-coller les questions dans son outil de synthèse vocale. Cela risque d’allonger le temps qui lui est nécessaire pour réaliser son examen. Il faudrait en tenir compte dans le temps qui lui est alloué pour réaliser son examen. </w:t>
      </w:r>
    </w:p>
    <w:p w14:paraId="1F64E196" w14:textId="77777777" w:rsidR="00515201" w:rsidRPr="00515201" w:rsidRDefault="00515201" w:rsidP="00515201">
      <w:pPr>
        <w:autoSpaceDE w:val="0"/>
        <w:autoSpaceDN w:val="0"/>
        <w:adjustRightInd w:val="0"/>
        <w:spacing w:after="0" w:line="240" w:lineRule="auto"/>
        <w:ind w:left="708"/>
        <w:jc w:val="left"/>
        <w:rPr>
          <w:rFonts w:ascii="Calibri" w:hAnsi="Calibri" w:cs="Calibri"/>
          <w:color w:val="000000"/>
        </w:rPr>
      </w:pPr>
    </w:p>
    <w:p w14:paraId="49E1188A" w14:textId="7C2EFA8D" w:rsidR="00515201" w:rsidRDefault="00515201" w:rsidP="00515201">
      <w:pPr>
        <w:autoSpaceDE w:val="0"/>
        <w:autoSpaceDN w:val="0"/>
        <w:adjustRightInd w:val="0"/>
        <w:spacing w:after="0" w:line="240" w:lineRule="auto"/>
        <w:ind w:left="708"/>
        <w:jc w:val="left"/>
        <w:rPr>
          <w:rFonts w:ascii="Calibri" w:hAnsi="Calibri" w:cs="Calibri"/>
          <w:color w:val="000000"/>
        </w:rPr>
      </w:pPr>
      <w:r w:rsidRPr="00515201">
        <w:rPr>
          <w:rFonts w:ascii="Calibri" w:hAnsi="Calibri" w:cs="Calibri"/>
          <w:color w:val="000000"/>
        </w:rPr>
        <w:t xml:space="preserve">Si votre examen fait appel à d’autres ressources, vous devez vous assurer de les fournir dans un format qui soit accessible, par exemple ceux produits grâce à des logiciels éprouvés tels que Word ou </w:t>
      </w:r>
      <w:proofErr w:type="spellStart"/>
      <w:r w:rsidRPr="00515201">
        <w:rPr>
          <w:rFonts w:ascii="Calibri" w:hAnsi="Calibri" w:cs="Calibri"/>
          <w:color w:val="000000"/>
        </w:rPr>
        <w:t>PDFtexte</w:t>
      </w:r>
      <w:proofErr w:type="spellEnd"/>
      <w:r w:rsidRPr="00515201">
        <w:rPr>
          <w:rFonts w:ascii="Calibri" w:hAnsi="Calibri" w:cs="Calibri"/>
          <w:color w:val="000000"/>
        </w:rPr>
        <w:t xml:space="preserve">. Pour vérifier si un texte est en format accessible, il suffit </w:t>
      </w:r>
      <w:proofErr w:type="gramStart"/>
      <w:r w:rsidRPr="00515201">
        <w:rPr>
          <w:rFonts w:ascii="Calibri" w:hAnsi="Calibri" w:cs="Calibri"/>
          <w:color w:val="000000"/>
        </w:rPr>
        <w:t>de le</w:t>
      </w:r>
      <w:proofErr w:type="gramEnd"/>
      <w:r w:rsidRPr="00515201">
        <w:rPr>
          <w:rFonts w:ascii="Calibri" w:hAnsi="Calibri" w:cs="Calibri"/>
          <w:color w:val="000000"/>
        </w:rPr>
        <w:t xml:space="preserve"> copier-coller dans un fichier Word. Si cela fonctionne, les outils de synthèse vocales devraient en principe fonctionner. Dans le cas contraire, le format du document n’est pas accessible à la synthèse vocale. </w:t>
      </w:r>
    </w:p>
    <w:p w14:paraId="4F98998B" w14:textId="77777777" w:rsidR="00515201" w:rsidRDefault="00515201" w:rsidP="00515201">
      <w:pPr>
        <w:autoSpaceDE w:val="0"/>
        <w:autoSpaceDN w:val="0"/>
        <w:adjustRightInd w:val="0"/>
        <w:spacing w:after="0" w:line="240" w:lineRule="auto"/>
        <w:jc w:val="left"/>
        <w:rPr>
          <w:rFonts w:ascii="Calibri" w:hAnsi="Calibri" w:cs="Calibri"/>
          <w:b/>
          <w:bCs/>
          <w:color w:val="000000"/>
        </w:rPr>
      </w:pPr>
    </w:p>
    <w:p w14:paraId="083D0C60" w14:textId="17AA00A7" w:rsidR="00515201" w:rsidRPr="00515201" w:rsidRDefault="00515201" w:rsidP="00515201">
      <w:pPr>
        <w:pStyle w:val="Paragraphedeliste"/>
        <w:numPr>
          <w:ilvl w:val="0"/>
          <w:numId w:val="9"/>
        </w:numPr>
        <w:autoSpaceDE w:val="0"/>
        <w:autoSpaceDN w:val="0"/>
        <w:adjustRightInd w:val="0"/>
        <w:spacing w:after="0" w:line="240" w:lineRule="auto"/>
        <w:jc w:val="left"/>
        <w:rPr>
          <w:rFonts w:ascii="Calibri" w:hAnsi="Calibri" w:cs="Calibri"/>
          <w:color w:val="000000"/>
        </w:rPr>
      </w:pPr>
      <w:r w:rsidRPr="00515201">
        <w:rPr>
          <w:rFonts w:ascii="Calibri" w:hAnsi="Calibri" w:cs="Calibri"/>
          <w:b/>
          <w:bCs/>
          <w:color w:val="000000"/>
        </w:rPr>
        <w:t xml:space="preserve">Mon étudiant pourra-t-il utiliser Antidote ou </w:t>
      </w:r>
      <w:proofErr w:type="spellStart"/>
      <w:r w:rsidRPr="00515201">
        <w:rPr>
          <w:rFonts w:ascii="Calibri" w:hAnsi="Calibri" w:cs="Calibri"/>
          <w:b/>
          <w:bCs/>
          <w:color w:val="000000"/>
        </w:rPr>
        <w:t>WordQ</w:t>
      </w:r>
      <w:proofErr w:type="spellEnd"/>
      <w:r w:rsidRPr="00515201">
        <w:rPr>
          <w:rFonts w:ascii="Calibri" w:hAnsi="Calibri" w:cs="Calibri"/>
          <w:b/>
          <w:bCs/>
          <w:color w:val="000000"/>
        </w:rPr>
        <w:t xml:space="preserve"> lorsqu’il fera un examen en ligne sur </w:t>
      </w:r>
      <w:proofErr w:type="spellStart"/>
      <w:r w:rsidRPr="00515201">
        <w:rPr>
          <w:rFonts w:ascii="Calibri" w:hAnsi="Calibri" w:cs="Calibri"/>
          <w:b/>
          <w:bCs/>
          <w:color w:val="000000"/>
        </w:rPr>
        <w:t>monPortail</w:t>
      </w:r>
      <w:proofErr w:type="spellEnd"/>
      <w:r w:rsidRPr="00515201">
        <w:rPr>
          <w:rFonts w:ascii="Calibri" w:hAnsi="Calibri" w:cs="Calibri"/>
          <w:b/>
          <w:bCs/>
          <w:color w:val="000000"/>
        </w:rPr>
        <w:t xml:space="preserve">? </w:t>
      </w:r>
    </w:p>
    <w:p w14:paraId="29107281" w14:textId="77777777" w:rsidR="00515201" w:rsidRPr="00515201" w:rsidRDefault="00515201" w:rsidP="00515201">
      <w:pPr>
        <w:autoSpaceDE w:val="0"/>
        <w:autoSpaceDN w:val="0"/>
        <w:adjustRightInd w:val="0"/>
        <w:spacing w:after="0" w:line="240" w:lineRule="auto"/>
        <w:jc w:val="left"/>
        <w:rPr>
          <w:rFonts w:ascii="Calibri" w:hAnsi="Calibri" w:cs="Calibri"/>
          <w:color w:val="000000"/>
        </w:rPr>
      </w:pPr>
    </w:p>
    <w:p w14:paraId="7705781B" w14:textId="5AEC8D48" w:rsidR="00515201" w:rsidRDefault="00515201" w:rsidP="00515201">
      <w:pPr>
        <w:autoSpaceDE w:val="0"/>
        <w:autoSpaceDN w:val="0"/>
        <w:adjustRightInd w:val="0"/>
        <w:spacing w:after="0" w:line="240" w:lineRule="auto"/>
        <w:ind w:left="708"/>
        <w:jc w:val="left"/>
        <w:rPr>
          <w:rFonts w:ascii="Calibri" w:hAnsi="Calibri" w:cs="Calibri"/>
          <w:color w:val="000000"/>
        </w:rPr>
      </w:pPr>
      <w:r w:rsidRPr="00515201">
        <w:rPr>
          <w:rFonts w:ascii="Calibri" w:hAnsi="Calibri" w:cs="Calibri"/>
          <w:color w:val="000000"/>
        </w:rPr>
        <w:t xml:space="preserve">Oui, il le pourra. Le questionnaire s’affiche dans un navigateur web, mais l’étudiant n’est pas limité à cette fenêtre de navigateur. Il peut en effet ouvrir un document Word dans lequel il prépare sa réponse à l’aide d’Antidote ou de </w:t>
      </w:r>
      <w:proofErr w:type="spellStart"/>
      <w:r w:rsidRPr="00515201">
        <w:rPr>
          <w:rFonts w:ascii="Calibri" w:hAnsi="Calibri" w:cs="Calibri"/>
          <w:color w:val="000000"/>
        </w:rPr>
        <w:t>WordQ</w:t>
      </w:r>
      <w:proofErr w:type="spellEnd"/>
      <w:r w:rsidRPr="00515201">
        <w:rPr>
          <w:rFonts w:ascii="Calibri" w:hAnsi="Calibri" w:cs="Calibri"/>
          <w:color w:val="000000"/>
        </w:rPr>
        <w:t xml:space="preserve">, puis copier et coller sa réponse dans votre questionnaire. Cela risque d’allonger le temps qui lui est nécessaire pour réaliser son examen et il faudra donc en tenir compte dans le temps qui lui est alloué. </w:t>
      </w:r>
    </w:p>
    <w:p w14:paraId="3FF4D6DA" w14:textId="77777777" w:rsidR="00515201" w:rsidRPr="00515201" w:rsidRDefault="00515201" w:rsidP="00515201">
      <w:pPr>
        <w:autoSpaceDE w:val="0"/>
        <w:autoSpaceDN w:val="0"/>
        <w:adjustRightInd w:val="0"/>
        <w:spacing w:after="0" w:line="240" w:lineRule="auto"/>
        <w:ind w:left="708"/>
        <w:jc w:val="left"/>
        <w:rPr>
          <w:rFonts w:ascii="Calibri" w:hAnsi="Calibri" w:cs="Calibri"/>
          <w:color w:val="000000"/>
        </w:rPr>
      </w:pPr>
    </w:p>
    <w:p w14:paraId="27DD9B52" w14:textId="6E5813F4" w:rsidR="00515201" w:rsidRPr="00515201" w:rsidRDefault="00515201" w:rsidP="00515201">
      <w:pPr>
        <w:pStyle w:val="Paragraphedeliste"/>
        <w:numPr>
          <w:ilvl w:val="0"/>
          <w:numId w:val="9"/>
        </w:numPr>
        <w:autoSpaceDE w:val="0"/>
        <w:autoSpaceDN w:val="0"/>
        <w:adjustRightInd w:val="0"/>
        <w:spacing w:after="0" w:line="240" w:lineRule="auto"/>
        <w:jc w:val="left"/>
        <w:rPr>
          <w:rFonts w:ascii="Calibri" w:hAnsi="Calibri" w:cs="Calibri"/>
          <w:color w:val="000000"/>
        </w:rPr>
      </w:pPr>
      <w:r w:rsidRPr="00515201">
        <w:rPr>
          <w:rFonts w:ascii="Calibri" w:hAnsi="Calibri" w:cs="Calibri"/>
          <w:b/>
          <w:bCs/>
          <w:color w:val="000000"/>
        </w:rPr>
        <w:t xml:space="preserve">Une étudiante de mon cours éprouve des problèmes visuels. Quelle solution puis-je lui offrir lors de la réalisation d’un examen sur </w:t>
      </w:r>
      <w:proofErr w:type="spellStart"/>
      <w:r w:rsidRPr="00515201">
        <w:rPr>
          <w:rFonts w:ascii="Calibri" w:hAnsi="Calibri" w:cs="Calibri"/>
          <w:b/>
          <w:bCs/>
          <w:color w:val="000000"/>
        </w:rPr>
        <w:t>monPortail</w:t>
      </w:r>
      <w:proofErr w:type="spellEnd"/>
      <w:r w:rsidRPr="00515201">
        <w:rPr>
          <w:rFonts w:ascii="Calibri" w:hAnsi="Calibri" w:cs="Calibri"/>
          <w:b/>
          <w:bCs/>
          <w:color w:val="000000"/>
        </w:rPr>
        <w:t xml:space="preserve">? </w:t>
      </w:r>
    </w:p>
    <w:p w14:paraId="7B9C67D6" w14:textId="77777777" w:rsidR="00515201" w:rsidRPr="00515201" w:rsidRDefault="00515201" w:rsidP="00515201">
      <w:pPr>
        <w:autoSpaceDE w:val="0"/>
        <w:autoSpaceDN w:val="0"/>
        <w:adjustRightInd w:val="0"/>
        <w:spacing w:after="0" w:line="240" w:lineRule="auto"/>
        <w:jc w:val="left"/>
        <w:rPr>
          <w:rFonts w:ascii="Calibri" w:hAnsi="Calibri" w:cs="Calibri"/>
          <w:color w:val="000000"/>
        </w:rPr>
      </w:pPr>
    </w:p>
    <w:p w14:paraId="3A486EC9" w14:textId="33C46CC8" w:rsidR="00515201" w:rsidRDefault="00515201" w:rsidP="00515201">
      <w:pPr>
        <w:autoSpaceDE w:val="0"/>
        <w:autoSpaceDN w:val="0"/>
        <w:adjustRightInd w:val="0"/>
        <w:spacing w:after="0" w:line="240" w:lineRule="auto"/>
        <w:ind w:left="708"/>
        <w:jc w:val="left"/>
        <w:rPr>
          <w:rFonts w:ascii="Segoe UI" w:hAnsi="Segoe UI" w:cs="Segoe UI"/>
          <w:color w:val="000000"/>
          <w:sz w:val="21"/>
          <w:szCs w:val="21"/>
        </w:rPr>
      </w:pPr>
      <w:r w:rsidRPr="00515201">
        <w:rPr>
          <w:rFonts w:ascii="Calibri" w:hAnsi="Calibri" w:cs="Calibri"/>
          <w:color w:val="000000"/>
        </w:rPr>
        <w:t>L’étudiant</w:t>
      </w:r>
      <w:r>
        <w:rPr>
          <w:rFonts w:ascii="Calibri" w:hAnsi="Calibri" w:cs="Calibri"/>
          <w:color w:val="000000"/>
        </w:rPr>
        <w:t>e</w:t>
      </w:r>
      <w:r w:rsidRPr="00515201">
        <w:rPr>
          <w:rFonts w:ascii="Calibri" w:hAnsi="Calibri" w:cs="Calibri"/>
          <w:color w:val="000000"/>
        </w:rPr>
        <w:t xml:space="preserve"> peut utiliser </w:t>
      </w:r>
      <w:r w:rsidRPr="00515201">
        <w:rPr>
          <w:rFonts w:ascii="Cambria Math" w:hAnsi="Cambria Math" w:cs="Cambria Math"/>
          <w:color w:val="000000"/>
        </w:rPr>
        <w:t xml:space="preserve">le zoom offert avec tout navigateur, lequel permet de préciser la taille de l’affichage. Ce zoom prend généralement la forme d’un curseur situé en bas à droite de l’écran. Il permet de choisir la taille de l’affichage (par exemple 125 %) et agrandir ainsi l’ensemble de la page du questionnaire et, ce faisant, la taille des caractères affichés. </w:t>
      </w:r>
      <w:r w:rsidRPr="00515201">
        <w:rPr>
          <w:rFonts w:ascii="Segoe UI" w:hAnsi="Segoe UI" w:cs="Segoe UI"/>
          <w:color w:val="000000"/>
          <w:sz w:val="21"/>
          <w:szCs w:val="21"/>
        </w:rPr>
        <w:t xml:space="preserve">Dans le cas des personnes complètement non voyantes, une communication personnalisée est nécessaire afin de déterminer de quelle manière il sera possible de procéder. </w:t>
      </w:r>
    </w:p>
    <w:p w14:paraId="0074EA7F" w14:textId="77777777" w:rsidR="00515201" w:rsidRPr="00515201" w:rsidRDefault="00515201" w:rsidP="00515201">
      <w:pPr>
        <w:autoSpaceDE w:val="0"/>
        <w:autoSpaceDN w:val="0"/>
        <w:adjustRightInd w:val="0"/>
        <w:spacing w:after="0" w:line="240" w:lineRule="auto"/>
        <w:ind w:left="708"/>
        <w:jc w:val="left"/>
        <w:rPr>
          <w:rFonts w:ascii="Calibri" w:hAnsi="Calibri" w:cs="Calibri"/>
          <w:color w:val="000000"/>
          <w:sz w:val="21"/>
          <w:szCs w:val="21"/>
        </w:rPr>
      </w:pPr>
    </w:p>
    <w:p w14:paraId="07CEDA2F" w14:textId="3586A893" w:rsidR="00515201" w:rsidRPr="00515201" w:rsidRDefault="00515201" w:rsidP="00515201">
      <w:pPr>
        <w:pStyle w:val="Paragraphedeliste"/>
        <w:numPr>
          <w:ilvl w:val="0"/>
          <w:numId w:val="9"/>
        </w:numPr>
        <w:autoSpaceDE w:val="0"/>
        <w:autoSpaceDN w:val="0"/>
        <w:adjustRightInd w:val="0"/>
        <w:spacing w:after="0" w:line="240" w:lineRule="auto"/>
        <w:jc w:val="left"/>
        <w:rPr>
          <w:rFonts w:ascii="Calibri" w:hAnsi="Calibri" w:cs="Calibri"/>
          <w:color w:val="000000"/>
          <w:sz w:val="21"/>
          <w:szCs w:val="21"/>
        </w:rPr>
      </w:pPr>
      <w:r w:rsidRPr="00515201">
        <w:rPr>
          <w:rFonts w:ascii="Segoe UI" w:hAnsi="Segoe UI" w:cs="Segoe UI"/>
          <w:b/>
          <w:bCs/>
          <w:color w:val="000000"/>
          <w:sz w:val="21"/>
          <w:szCs w:val="21"/>
        </w:rPr>
        <w:t xml:space="preserve">À qui puis-je adresser les autres questions que je me pose à propos des accommodements consentis à mes étudiantes ou à mes étudiants en situation de handicap? </w:t>
      </w:r>
    </w:p>
    <w:p w14:paraId="2594E34A" w14:textId="77777777" w:rsidR="00515201" w:rsidRPr="00515201" w:rsidRDefault="00515201" w:rsidP="00515201">
      <w:pPr>
        <w:autoSpaceDE w:val="0"/>
        <w:autoSpaceDN w:val="0"/>
        <w:adjustRightInd w:val="0"/>
        <w:spacing w:after="0" w:line="240" w:lineRule="auto"/>
        <w:jc w:val="left"/>
        <w:rPr>
          <w:rFonts w:ascii="Calibri" w:hAnsi="Calibri" w:cs="Calibri"/>
          <w:color w:val="000000"/>
          <w:sz w:val="21"/>
          <w:szCs w:val="21"/>
        </w:rPr>
      </w:pPr>
    </w:p>
    <w:bookmarkEnd w:id="1"/>
    <w:p w14:paraId="363DCF71" w14:textId="6F7151CF" w:rsidR="0004133E" w:rsidRPr="009E655C" w:rsidRDefault="00515201" w:rsidP="00515201">
      <w:pPr>
        <w:ind w:left="708" w:right="202"/>
        <w:rPr>
          <w:rFonts w:cstheme="minorHAnsi"/>
        </w:rPr>
      </w:pPr>
      <w:r>
        <w:rPr>
          <w:rFonts w:ascii="Segoe UI" w:hAnsi="Segoe UI" w:cs="Segoe UI"/>
          <w:sz w:val="21"/>
          <w:szCs w:val="21"/>
          <w:lang w:eastAsia="fr-CA"/>
        </w:rPr>
        <w:t xml:space="preserve">Nous vous invitons à transmettre toute question touchant </w:t>
      </w:r>
      <w:r w:rsidRPr="00A571D4">
        <w:rPr>
          <w:rFonts w:ascii="Segoe UI" w:hAnsi="Segoe UI" w:cs="Segoe UI"/>
          <w:sz w:val="21"/>
          <w:szCs w:val="21"/>
          <w:lang w:eastAsia="fr-CA"/>
        </w:rPr>
        <w:t xml:space="preserve">ces accommodements </w:t>
      </w:r>
      <w:r>
        <w:rPr>
          <w:rFonts w:ascii="Segoe UI" w:hAnsi="Segoe UI" w:cs="Segoe UI"/>
          <w:sz w:val="21"/>
          <w:szCs w:val="21"/>
          <w:lang w:eastAsia="fr-CA"/>
        </w:rPr>
        <w:t xml:space="preserve">à l’adresse : </w:t>
      </w:r>
      <w:hyperlink r:id="rId11" w:history="1">
        <w:r>
          <w:rPr>
            <w:rStyle w:val="Lienhypertexte"/>
            <w:rFonts w:ascii="Segoe UI" w:hAnsi="Segoe UI" w:cs="Segoe UI"/>
            <w:sz w:val="21"/>
            <w:szCs w:val="21"/>
            <w:lang w:eastAsia="fr-CA"/>
          </w:rPr>
          <w:t>acsesh@aide.ulaval.ca</w:t>
        </w:r>
      </w:hyperlink>
      <w:r>
        <w:rPr>
          <w:rFonts w:ascii="Segoe UI" w:hAnsi="Segoe UI" w:cs="Segoe UI"/>
          <w:sz w:val="21"/>
          <w:szCs w:val="21"/>
          <w:lang w:eastAsia="fr-CA"/>
        </w:rPr>
        <w:t>.</w:t>
      </w:r>
    </w:p>
    <w:sectPr w:rsidR="0004133E" w:rsidRPr="009E655C" w:rsidSect="009E655C">
      <w:headerReference w:type="default" r:id="rId12"/>
      <w:footerReference w:type="even" r:id="rId13"/>
      <w:footerReference w:type="default" r:id="rId14"/>
      <w:pgSz w:w="12240" w:h="15840"/>
      <w:pgMar w:top="1135" w:right="1800" w:bottom="1440" w:left="180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0D6EB" w14:textId="77777777" w:rsidR="00D67558" w:rsidRDefault="00D67558" w:rsidP="00796BAA">
      <w:r>
        <w:separator/>
      </w:r>
    </w:p>
    <w:p w14:paraId="464199B6" w14:textId="77777777" w:rsidR="00D67558" w:rsidRDefault="00D67558" w:rsidP="00B12A50"/>
  </w:endnote>
  <w:endnote w:type="continuationSeparator" w:id="0">
    <w:p w14:paraId="2C61C657" w14:textId="77777777" w:rsidR="00D67558" w:rsidRDefault="00D67558" w:rsidP="00796BAA">
      <w:r>
        <w:continuationSeparator/>
      </w:r>
    </w:p>
    <w:p w14:paraId="3E02C6E1" w14:textId="77777777" w:rsidR="00D67558" w:rsidRDefault="00D67558" w:rsidP="00B12A50"/>
  </w:endnote>
  <w:endnote w:type="continuationNotice" w:id="1">
    <w:p w14:paraId="5BF1D6CC" w14:textId="77777777" w:rsidR="00D67558" w:rsidRDefault="00D67558" w:rsidP="00796BAA"/>
    <w:p w14:paraId="67CA363C" w14:textId="77777777" w:rsidR="00D67558" w:rsidRDefault="00D67558" w:rsidP="00B12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charset w:val="00"/>
    <w:family w:val="swiss"/>
    <w:pitch w:val="variable"/>
    <w:sig w:usb0="600002F7" w:usb1="02000001" w:usb2="00000000" w:usb3="00000000" w:csb0="0000019F" w:csb1="00000000"/>
  </w:font>
  <w:font w:name="Source Sans Pro SemiBold">
    <w:altName w:val="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itres CS)">
    <w:altName w:val="Times New Roman"/>
    <w:charset w:val="00"/>
    <w:family w:val="roman"/>
    <w:pitch w:val="default"/>
  </w:font>
  <w:font w:name="Segoe UI">
    <w:altName w:val="Segoe UI"/>
    <w:panose1 w:val="020B0502040204020203"/>
    <w:charset w:val="00"/>
    <w:family w:val="swiss"/>
    <w:pitch w:val="variable"/>
    <w:sig w:usb0="E4002EFF" w:usb1="C000E47F" w:usb2="00000009" w:usb3="00000000" w:csb0="000001FF" w:csb1="00000000"/>
  </w:font>
  <w:font w:name="Times New Roman (Corps CS)">
    <w:altName w:val="Times New Roman"/>
    <w:charset w:val="00"/>
    <w:family w:val="roman"/>
    <w:pitch w:val="default"/>
  </w:font>
  <w:font w:name="Calibri">
    <w:altName w:val="Calibri"/>
    <w:panose1 w:val="020F0502020204030204"/>
    <w:charset w:val="00"/>
    <w:family w:val="swiss"/>
    <w:pitch w:val="variable"/>
    <w:sig w:usb0="E4002EFF" w:usb1="C000247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F47E" w14:textId="77777777" w:rsidR="0073088D" w:rsidRDefault="0073088D" w:rsidP="00796BAA">
    <w:pPr>
      <w:rPr>
        <w:rStyle w:val="Numrodepage"/>
      </w:rPr>
    </w:pPr>
    <w:r>
      <w:rPr>
        <w:rStyle w:val="Numrodepage"/>
      </w:rPr>
      <w:fldChar w:fldCharType="begin"/>
    </w:r>
    <w:r>
      <w:rPr>
        <w:rStyle w:val="Numrodepage"/>
      </w:rPr>
      <w:instrText xml:space="preserve">PAGE  </w:instrText>
    </w:r>
    <w:r>
      <w:rPr>
        <w:rStyle w:val="Numrodepage"/>
      </w:rPr>
      <w:fldChar w:fldCharType="end"/>
    </w:r>
  </w:p>
  <w:p w14:paraId="48E3581A" w14:textId="77777777" w:rsidR="00F6511B" w:rsidRDefault="00F6511B" w:rsidP="00B12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145"/>
      <w:gridCol w:w="1041"/>
      <w:gridCol w:w="2403"/>
      <w:gridCol w:w="735"/>
    </w:tblGrid>
    <w:tr w:rsidR="00222E73" w14:paraId="708426B3" w14:textId="77777777" w:rsidTr="00761B63">
      <w:tc>
        <w:tcPr>
          <w:tcW w:w="993" w:type="dxa"/>
          <w:tcMar>
            <w:left w:w="28" w:type="dxa"/>
            <w:right w:w="28" w:type="dxa"/>
          </w:tcMar>
          <w:vAlign w:val="center"/>
        </w:tcPr>
        <w:p w14:paraId="7B7597F9" w14:textId="77777777" w:rsidR="004D292D" w:rsidRPr="004D292D" w:rsidRDefault="004D292D" w:rsidP="004D292D">
          <w:pPr>
            <w:pStyle w:val="Titre2"/>
            <w:jc w:val="left"/>
            <w:outlineLvl w:val="1"/>
            <w:rPr>
              <w:color w:val="808080" w:themeColor="background1" w:themeShade="80"/>
              <w:sz w:val="18"/>
              <w:szCs w:val="14"/>
            </w:rPr>
          </w:pPr>
          <w:r>
            <w:rPr>
              <w:noProof/>
            </w:rPr>
            <w:drawing>
              <wp:inline distT="0" distB="0" distL="0" distR="0" wp14:anchorId="18CD9F49" wp14:editId="2CE665A7">
                <wp:extent cx="1433593" cy="311027"/>
                <wp:effectExtent l="0" t="0" r="1905" b="0"/>
                <wp:docPr id="46" name="Image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43"/>
                        <pic:cNvPicPr/>
                      </pic:nvPicPr>
                      <pic:blipFill>
                        <a:blip r:embed="rId1">
                          <a:extLst>
                            <a:ext uri="{28A0092B-C50C-407E-A947-70E740481C1C}">
                              <a14:useLocalDpi xmlns:a14="http://schemas.microsoft.com/office/drawing/2010/main" val="0"/>
                            </a:ext>
                          </a:extLst>
                        </a:blip>
                        <a:stretch>
                          <a:fillRect/>
                        </a:stretch>
                      </pic:blipFill>
                      <pic:spPr>
                        <a:xfrm>
                          <a:off x="0" y="0"/>
                          <a:ext cx="1817616" cy="394343"/>
                        </a:xfrm>
                        <a:prstGeom prst="rect">
                          <a:avLst/>
                        </a:prstGeom>
                      </pic:spPr>
                    </pic:pic>
                  </a:graphicData>
                </a:graphic>
              </wp:inline>
            </w:drawing>
          </w:r>
        </w:p>
      </w:tc>
      <w:tc>
        <w:tcPr>
          <w:tcW w:w="2693" w:type="dxa"/>
          <w:tcMar>
            <w:left w:w="28" w:type="dxa"/>
            <w:right w:w="28" w:type="dxa"/>
          </w:tcMar>
          <w:vAlign w:val="center"/>
        </w:tcPr>
        <w:p w14:paraId="695430E7" w14:textId="1142AD4C" w:rsidR="004D292D" w:rsidRPr="004D292D" w:rsidRDefault="004D292D" w:rsidP="004D292D">
          <w:pPr>
            <w:pStyle w:val="Titre2"/>
            <w:jc w:val="left"/>
            <w:outlineLvl w:val="1"/>
            <w:rPr>
              <w:rFonts w:ascii="Source Sans Pro Light" w:hAnsi="Source Sans Pro Light"/>
              <w:color w:val="808080" w:themeColor="background1" w:themeShade="80"/>
              <w:sz w:val="16"/>
              <w:szCs w:val="12"/>
            </w:rPr>
          </w:pPr>
        </w:p>
      </w:tc>
      <w:tc>
        <w:tcPr>
          <w:tcW w:w="1276" w:type="dxa"/>
          <w:tcMar>
            <w:left w:w="28" w:type="dxa"/>
            <w:right w:w="28" w:type="dxa"/>
          </w:tcMar>
          <w:vAlign w:val="center"/>
        </w:tcPr>
        <w:p w14:paraId="5DE4FB16" w14:textId="0BE8EC9A" w:rsidR="004D292D" w:rsidRPr="004D292D" w:rsidRDefault="004D292D" w:rsidP="004D292D">
          <w:pPr>
            <w:pStyle w:val="Titre2"/>
            <w:jc w:val="center"/>
            <w:outlineLvl w:val="1"/>
            <w:rPr>
              <w:color w:val="808080" w:themeColor="background1" w:themeShade="80"/>
              <w:sz w:val="18"/>
              <w:szCs w:val="14"/>
            </w:rPr>
          </w:pPr>
          <w:r w:rsidRPr="004D292D">
            <w:rPr>
              <w:color w:val="808080" w:themeColor="background1" w:themeShade="80"/>
              <w:sz w:val="18"/>
              <w:szCs w:val="14"/>
            </w:rPr>
            <w:fldChar w:fldCharType="begin"/>
          </w:r>
          <w:r w:rsidRPr="004D292D">
            <w:rPr>
              <w:color w:val="808080" w:themeColor="background1" w:themeShade="80"/>
              <w:sz w:val="18"/>
              <w:szCs w:val="14"/>
            </w:rPr>
            <w:instrText>PAGE   \* MERGEFORMAT</w:instrText>
          </w:r>
          <w:r w:rsidRPr="004D292D">
            <w:rPr>
              <w:color w:val="808080" w:themeColor="background1" w:themeShade="80"/>
              <w:sz w:val="18"/>
              <w:szCs w:val="14"/>
            </w:rPr>
            <w:fldChar w:fldCharType="separate"/>
          </w:r>
          <w:r w:rsidRPr="004D292D">
            <w:rPr>
              <w:color w:val="808080" w:themeColor="background1" w:themeShade="80"/>
              <w:sz w:val="18"/>
              <w:szCs w:val="14"/>
            </w:rPr>
            <w:t>1</w:t>
          </w:r>
          <w:r w:rsidRPr="004D292D">
            <w:rPr>
              <w:color w:val="808080" w:themeColor="background1" w:themeShade="80"/>
              <w:sz w:val="18"/>
              <w:szCs w:val="14"/>
            </w:rPr>
            <w:fldChar w:fldCharType="end"/>
          </w:r>
        </w:p>
      </w:tc>
      <w:tc>
        <w:tcPr>
          <w:tcW w:w="2835" w:type="dxa"/>
          <w:tcMar>
            <w:left w:w="28" w:type="dxa"/>
            <w:right w:w="28" w:type="dxa"/>
          </w:tcMar>
          <w:vAlign w:val="center"/>
        </w:tcPr>
        <w:p w14:paraId="34816DC9" w14:textId="77777777" w:rsidR="004D292D" w:rsidRPr="004D292D" w:rsidRDefault="004D292D" w:rsidP="004D292D">
          <w:pPr>
            <w:pStyle w:val="Titre2"/>
            <w:jc w:val="right"/>
            <w:outlineLvl w:val="1"/>
            <w:rPr>
              <w:color w:val="808080" w:themeColor="background1" w:themeShade="80"/>
              <w:sz w:val="18"/>
              <w:szCs w:val="14"/>
            </w:rPr>
          </w:pPr>
          <w:r w:rsidRPr="0004133E">
            <w:rPr>
              <w:noProof/>
              <w:sz w:val="18"/>
              <w:szCs w:val="18"/>
            </w:rPr>
            <w:drawing>
              <wp:inline distT="0" distB="0" distL="0" distR="0" wp14:anchorId="5E31D1E9" wp14:editId="384EBE5F">
                <wp:extent cx="447675" cy="156449"/>
                <wp:effectExtent l="0" t="0" r="0" b="0"/>
                <wp:docPr id="47" name="Image 4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156449"/>
                        </a:xfrm>
                        <a:prstGeom prst="rect">
                          <a:avLst/>
                        </a:prstGeom>
                        <a:noFill/>
                        <a:ln>
                          <a:noFill/>
                        </a:ln>
                      </pic:spPr>
                    </pic:pic>
                  </a:graphicData>
                </a:graphic>
              </wp:inline>
            </w:drawing>
          </w:r>
        </w:p>
      </w:tc>
      <w:tc>
        <w:tcPr>
          <w:tcW w:w="833" w:type="dxa"/>
          <w:tcMar>
            <w:left w:w="28" w:type="dxa"/>
            <w:right w:w="28" w:type="dxa"/>
          </w:tcMar>
          <w:vAlign w:val="center"/>
        </w:tcPr>
        <w:p w14:paraId="645D75FC" w14:textId="77777777" w:rsidR="004D292D" w:rsidRPr="004D292D" w:rsidRDefault="004D292D" w:rsidP="004D292D">
          <w:pPr>
            <w:pStyle w:val="Titre2"/>
            <w:jc w:val="right"/>
            <w:outlineLvl w:val="1"/>
            <w:rPr>
              <w:rFonts w:ascii="Source Sans Pro Light" w:hAnsi="Source Sans Pro Light"/>
              <w:color w:val="808080" w:themeColor="background1" w:themeShade="80"/>
              <w:sz w:val="16"/>
              <w:szCs w:val="12"/>
            </w:rPr>
          </w:pPr>
          <w:r w:rsidRPr="004D292D">
            <w:rPr>
              <w:rFonts w:ascii="Source Sans Pro Light" w:hAnsi="Source Sans Pro Light"/>
              <w:color w:val="808080" w:themeColor="background1" w:themeShade="80"/>
              <w:sz w:val="16"/>
              <w:szCs w:val="12"/>
            </w:rPr>
            <w:t>Avril 2020</w:t>
          </w:r>
        </w:p>
      </w:tc>
    </w:tr>
  </w:tbl>
  <w:p w14:paraId="2DE614FD" w14:textId="77777777" w:rsidR="00F6511B" w:rsidRPr="004D292D" w:rsidRDefault="00F6511B" w:rsidP="004D29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0F40" w14:textId="77777777" w:rsidR="00D67558" w:rsidRDefault="00D67558" w:rsidP="00796BAA">
      <w:r>
        <w:separator/>
      </w:r>
    </w:p>
    <w:p w14:paraId="6D0ABDB9" w14:textId="77777777" w:rsidR="00D67558" w:rsidRDefault="00D67558" w:rsidP="007223F4">
      <w:pPr>
        <w:spacing w:after="0" w:line="240" w:lineRule="auto"/>
      </w:pPr>
    </w:p>
  </w:footnote>
  <w:footnote w:type="continuationSeparator" w:id="0">
    <w:p w14:paraId="111BD611" w14:textId="77777777" w:rsidR="00D67558" w:rsidRDefault="00D67558" w:rsidP="00796BAA">
      <w:r>
        <w:continuationSeparator/>
      </w:r>
    </w:p>
    <w:p w14:paraId="73EFFFF9" w14:textId="77777777" w:rsidR="00D67558" w:rsidRDefault="00D67558" w:rsidP="00B12A50"/>
  </w:footnote>
  <w:footnote w:type="continuationNotice" w:id="1">
    <w:p w14:paraId="68A6D2AE" w14:textId="77777777" w:rsidR="00D67558" w:rsidRDefault="00D67558" w:rsidP="00796BAA"/>
    <w:p w14:paraId="62ED3E04" w14:textId="77777777" w:rsidR="00D67558" w:rsidRDefault="00D67558" w:rsidP="00B12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E9D6" w14:textId="63D1003D" w:rsidR="00F6511B" w:rsidRDefault="0073088D" w:rsidP="00796BAA">
    <w:r>
      <w:rPr>
        <w:noProof/>
        <w:lang w:eastAsia="fr-CA"/>
      </w:rPr>
      <w:drawing>
        <wp:anchor distT="0" distB="0" distL="114300" distR="114300" simplePos="0" relativeHeight="251658240" behindDoc="1" locked="0" layoutInCell="1" allowOverlap="1" wp14:anchorId="32532B38" wp14:editId="3BADD2B2">
          <wp:simplePos x="0" y="0"/>
          <wp:positionH relativeFrom="page">
            <wp:align>left</wp:align>
          </wp:positionH>
          <wp:positionV relativeFrom="page">
            <wp:align>top</wp:align>
          </wp:positionV>
          <wp:extent cx="7790400" cy="280800"/>
          <wp:effectExtent l="0" t="0" r="0" b="0"/>
          <wp:wrapNone/>
          <wp:docPr id="45" name="Image 45" descr="../Visuel/bande_rouge_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isuel/bande_rouge_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400" cy="28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24C4"/>
    <w:multiLevelType w:val="hybridMultilevel"/>
    <w:tmpl w:val="6400B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A46B85"/>
    <w:multiLevelType w:val="hybridMultilevel"/>
    <w:tmpl w:val="57A49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B267030"/>
    <w:multiLevelType w:val="hybridMultilevel"/>
    <w:tmpl w:val="7EDA0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4C53DD"/>
    <w:multiLevelType w:val="hybridMultilevel"/>
    <w:tmpl w:val="8E7A5304"/>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2426457"/>
    <w:multiLevelType w:val="hybridMultilevel"/>
    <w:tmpl w:val="5CEC324E"/>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73843E7"/>
    <w:multiLevelType w:val="hybridMultilevel"/>
    <w:tmpl w:val="5B2C06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0835D3E"/>
    <w:multiLevelType w:val="hybridMultilevel"/>
    <w:tmpl w:val="CB506EC0"/>
    <w:lvl w:ilvl="0" w:tplc="840064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21A3A4B"/>
    <w:multiLevelType w:val="hybridMultilevel"/>
    <w:tmpl w:val="4146A2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92B3DA9"/>
    <w:multiLevelType w:val="hybridMultilevel"/>
    <w:tmpl w:val="40A8E0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0"/>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03"/>
    <w:rsid w:val="00024562"/>
    <w:rsid w:val="00035D55"/>
    <w:rsid w:val="0004133E"/>
    <w:rsid w:val="00043C5C"/>
    <w:rsid w:val="0004747F"/>
    <w:rsid w:val="00057A6F"/>
    <w:rsid w:val="00057B58"/>
    <w:rsid w:val="00057EEF"/>
    <w:rsid w:val="00070B7D"/>
    <w:rsid w:val="0007670C"/>
    <w:rsid w:val="00085FD4"/>
    <w:rsid w:val="000872B1"/>
    <w:rsid w:val="00091B7C"/>
    <w:rsid w:val="000E332B"/>
    <w:rsid w:val="0010073D"/>
    <w:rsid w:val="00105F6C"/>
    <w:rsid w:val="001102EA"/>
    <w:rsid w:val="001309D2"/>
    <w:rsid w:val="0014181C"/>
    <w:rsid w:val="00146850"/>
    <w:rsid w:val="001478F7"/>
    <w:rsid w:val="00156D27"/>
    <w:rsid w:val="0015985A"/>
    <w:rsid w:val="001652A0"/>
    <w:rsid w:val="00170073"/>
    <w:rsid w:val="0017161B"/>
    <w:rsid w:val="0019235D"/>
    <w:rsid w:val="001B266F"/>
    <w:rsid w:val="001B2EAC"/>
    <w:rsid w:val="001C20A5"/>
    <w:rsid w:val="001D1E35"/>
    <w:rsid w:val="001D39BE"/>
    <w:rsid w:val="001D3FEF"/>
    <w:rsid w:val="001E7EFB"/>
    <w:rsid w:val="001F07E1"/>
    <w:rsid w:val="001F349E"/>
    <w:rsid w:val="001F734E"/>
    <w:rsid w:val="00221C64"/>
    <w:rsid w:val="00222A2B"/>
    <w:rsid w:val="00222E73"/>
    <w:rsid w:val="0022713A"/>
    <w:rsid w:val="00230E03"/>
    <w:rsid w:val="00234B24"/>
    <w:rsid w:val="00246883"/>
    <w:rsid w:val="00250A57"/>
    <w:rsid w:val="002563BC"/>
    <w:rsid w:val="0025760A"/>
    <w:rsid w:val="00282EE1"/>
    <w:rsid w:val="00291EF4"/>
    <w:rsid w:val="00295AB4"/>
    <w:rsid w:val="002A5645"/>
    <w:rsid w:val="002B6989"/>
    <w:rsid w:val="002D4CB7"/>
    <w:rsid w:val="002E0EA2"/>
    <w:rsid w:val="002E32F6"/>
    <w:rsid w:val="002F62C5"/>
    <w:rsid w:val="003066C7"/>
    <w:rsid w:val="00315369"/>
    <w:rsid w:val="0032112D"/>
    <w:rsid w:val="00325AD6"/>
    <w:rsid w:val="00334F19"/>
    <w:rsid w:val="00345466"/>
    <w:rsid w:val="003456D5"/>
    <w:rsid w:val="0035454B"/>
    <w:rsid w:val="003568ED"/>
    <w:rsid w:val="00364D55"/>
    <w:rsid w:val="00374A94"/>
    <w:rsid w:val="00374B05"/>
    <w:rsid w:val="00375E61"/>
    <w:rsid w:val="003802E1"/>
    <w:rsid w:val="00382623"/>
    <w:rsid w:val="00392742"/>
    <w:rsid w:val="003A3CC8"/>
    <w:rsid w:val="003A5C4F"/>
    <w:rsid w:val="003B5685"/>
    <w:rsid w:val="003E689F"/>
    <w:rsid w:val="004036C1"/>
    <w:rsid w:val="004122B7"/>
    <w:rsid w:val="00427D8C"/>
    <w:rsid w:val="00431CFC"/>
    <w:rsid w:val="00435A2A"/>
    <w:rsid w:val="00450070"/>
    <w:rsid w:val="004736BD"/>
    <w:rsid w:val="00493BC8"/>
    <w:rsid w:val="004A0A60"/>
    <w:rsid w:val="004A6F9F"/>
    <w:rsid w:val="004B658F"/>
    <w:rsid w:val="004D292D"/>
    <w:rsid w:val="004F2C16"/>
    <w:rsid w:val="004F31C6"/>
    <w:rsid w:val="004F7187"/>
    <w:rsid w:val="00505BEA"/>
    <w:rsid w:val="0050710F"/>
    <w:rsid w:val="00515201"/>
    <w:rsid w:val="00516480"/>
    <w:rsid w:val="005255CC"/>
    <w:rsid w:val="00537B13"/>
    <w:rsid w:val="00540605"/>
    <w:rsid w:val="00542BDA"/>
    <w:rsid w:val="0055176E"/>
    <w:rsid w:val="0059089D"/>
    <w:rsid w:val="00593DC9"/>
    <w:rsid w:val="00595D41"/>
    <w:rsid w:val="005A50D4"/>
    <w:rsid w:val="005A6B9F"/>
    <w:rsid w:val="005B65B2"/>
    <w:rsid w:val="005C30E5"/>
    <w:rsid w:val="005D06E5"/>
    <w:rsid w:val="005F1928"/>
    <w:rsid w:val="005F3720"/>
    <w:rsid w:val="005F6F87"/>
    <w:rsid w:val="006051B4"/>
    <w:rsid w:val="006053C1"/>
    <w:rsid w:val="00605520"/>
    <w:rsid w:val="0061031B"/>
    <w:rsid w:val="00611B07"/>
    <w:rsid w:val="00612BEA"/>
    <w:rsid w:val="00615357"/>
    <w:rsid w:val="0062048B"/>
    <w:rsid w:val="006249AC"/>
    <w:rsid w:val="00630970"/>
    <w:rsid w:val="006338A1"/>
    <w:rsid w:val="00654185"/>
    <w:rsid w:val="006671BA"/>
    <w:rsid w:val="006727E4"/>
    <w:rsid w:val="006A124C"/>
    <w:rsid w:val="006C7BE5"/>
    <w:rsid w:val="006D12BF"/>
    <w:rsid w:val="006E2BA0"/>
    <w:rsid w:val="006E5118"/>
    <w:rsid w:val="006F46F2"/>
    <w:rsid w:val="00710A8F"/>
    <w:rsid w:val="007110D4"/>
    <w:rsid w:val="00713D47"/>
    <w:rsid w:val="007223F4"/>
    <w:rsid w:val="0072603D"/>
    <w:rsid w:val="0073088D"/>
    <w:rsid w:val="00732E3A"/>
    <w:rsid w:val="00740334"/>
    <w:rsid w:val="00741949"/>
    <w:rsid w:val="00750C35"/>
    <w:rsid w:val="00750DE0"/>
    <w:rsid w:val="00751371"/>
    <w:rsid w:val="0075269C"/>
    <w:rsid w:val="00762C9B"/>
    <w:rsid w:val="00763D1E"/>
    <w:rsid w:val="00781877"/>
    <w:rsid w:val="0079336B"/>
    <w:rsid w:val="00796BAA"/>
    <w:rsid w:val="007A3BCE"/>
    <w:rsid w:val="007B2E93"/>
    <w:rsid w:val="007C131A"/>
    <w:rsid w:val="007D194C"/>
    <w:rsid w:val="007E55AE"/>
    <w:rsid w:val="00834B30"/>
    <w:rsid w:val="008400A8"/>
    <w:rsid w:val="008432B6"/>
    <w:rsid w:val="00853F93"/>
    <w:rsid w:val="00855C81"/>
    <w:rsid w:val="008573DE"/>
    <w:rsid w:val="0085780C"/>
    <w:rsid w:val="008856BC"/>
    <w:rsid w:val="008866D0"/>
    <w:rsid w:val="00897522"/>
    <w:rsid w:val="008A4D4E"/>
    <w:rsid w:val="008B6537"/>
    <w:rsid w:val="008C5708"/>
    <w:rsid w:val="008C6751"/>
    <w:rsid w:val="008D728A"/>
    <w:rsid w:val="008F3CAE"/>
    <w:rsid w:val="00902810"/>
    <w:rsid w:val="00914C72"/>
    <w:rsid w:val="00917E93"/>
    <w:rsid w:val="00920B15"/>
    <w:rsid w:val="009231A6"/>
    <w:rsid w:val="00941108"/>
    <w:rsid w:val="00955920"/>
    <w:rsid w:val="009571EF"/>
    <w:rsid w:val="00975D3C"/>
    <w:rsid w:val="009A2E09"/>
    <w:rsid w:val="009B06F7"/>
    <w:rsid w:val="009B58BA"/>
    <w:rsid w:val="009B7B1C"/>
    <w:rsid w:val="009C220E"/>
    <w:rsid w:val="009C670B"/>
    <w:rsid w:val="009C6F18"/>
    <w:rsid w:val="009E5540"/>
    <w:rsid w:val="009E655C"/>
    <w:rsid w:val="009E7E62"/>
    <w:rsid w:val="009F5D0D"/>
    <w:rsid w:val="00A265F3"/>
    <w:rsid w:val="00A27743"/>
    <w:rsid w:val="00A31726"/>
    <w:rsid w:val="00A326AC"/>
    <w:rsid w:val="00A60D02"/>
    <w:rsid w:val="00A775EF"/>
    <w:rsid w:val="00A86E2F"/>
    <w:rsid w:val="00A86FB7"/>
    <w:rsid w:val="00A92FE9"/>
    <w:rsid w:val="00A931C9"/>
    <w:rsid w:val="00A93864"/>
    <w:rsid w:val="00AA04A3"/>
    <w:rsid w:val="00AB29E3"/>
    <w:rsid w:val="00AB2B68"/>
    <w:rsid w:val="00AC31D6"/>
    <w:rsid w:val="00AC4C74"/>
    <w:rsid w:val="00AE10B3"/>
    <w:rsid w:val="00B0740D"/>
    <w:rsid w:val="00B12A50"/>
    <w:rsid w:val="00B17ACC"/>
    <w:rsid w:val="00B312EC"/>
    <w:rsid w:val="00B43974"/>
    <w:rsid w:val="00B56A19"/>
    <w:rsid w:val="00B6530E"/>
    <w:rsid w:val="00B71CDE"/>
    <w:rsid w:val="00B84FA1"/>
    <w:rsid w:val="00B94C99"/>
    <w:rsid w:val="00BA0171"/>
    <w:rsid w:val="00BA17F1"/>
    <w:rsid w:val="00BB7040"/>
    <w:rsid w:val="00BC40C1"/>
    <w:rsid w:val="00BD66BF"/>
    <w:rsid w:val="00BE218B"/>
    <w:rsid w:val="00BF4071"/>
    <w:rsid w:val="00BF7492"/>
    <w:rsid w:val="00C02434"/>
    <w:rsid w:val="00C11A6B"/>
    <w:rsid w:val="00C11F70"/>
    <w:rsid w:val="00C13625"/>
    <w:rsid w:val="00C305DD"/>
    <w:rsid w:val="00C36817"/>
    <w:rsid w:val="00C459B6"/>
    <w:rsid w:val="00C47332"/>
    <w:rsid w:val="00C67719"/>
    <w:rsid w:val="00C852C7"/>
    <w:rsid w:val="00C90A2D"/>
    <w:rsid w:val="00CA5B4C"/>
    <w:rsid w:val="00CB538F"/>
    <w:rsid w:val="00CB70A0"/>
    <w:rsid w:val="00CC1989"/>
    <w:rsid w:val="00CD29EA"/>
    <w:rsid w:val="00CD5571"/>
    <w:rsid w:val="00CE0F4E"/>
    <w:rsid w:val="00D02A81"/>
    <w:rsid w:val="00D05AB7"/>
    <w:rsid w:val="00D14886"/>
    <w:rsid w:val="00D20539"/>
    <w:rsid w:val="00D2387F"/>
    <w:rsid w:val="00D24489"/>
    <w:rsid w:val="00D24F1E"/>
    <w:rsid w:val="00D469F8"/>
    <w:rsid w:val="00D531D5"/>
    <w:rsid w:val="00D5519B"/>
    <w:rsid w:val="00D558E2"/>
    <w:rsid w:val="00D67558"/>
    <w:rsid w:val="00D73B6F"/>
    <w:rsid w:val="00D74A50"/>
    <w:rsid w:val="00D7641F"/>
    <w:rsid w:val="00D86560"/>
    <w:rsid w:val="00D86A47"/>
    <w:rsid w:val="00D961A1"/>
    <w:rsid w:val="00DA6222"/>
    <w:rsid w:val="00DB0195"/>
    <w:rsid w:val="00DB7581"/>
    <w:rsid w:val="00DE1F25"/>
    <w:rsid w:val="00DE7592"/>
    <w:rsid w:val="00DF17A5"/>
    <w:rsid w:val="00DF598C"/>
    <w:rsid w:val="00DF716A"/>
    <w:rsid w:val="00E017B1"/>
    <w:rsid w:val="00E01FE8"/>
    <w:rsid w:val="00E043DE"/>
    <w:rsid w:val="00E055DF"/>
    <w:rsid w:val="00E15445"/>
    <w:rsid w:val="00E26B15"/>
    <w:rsid w:val="00E340C6"/>
    <w:rsid w:val="00E517BC"/>
    <w:rsid w:val="00E62300"/>
    <w:rsid w:val="00E6693E"/>
    <w:rsid w:val="00E7686C"/>
    <w:rsid w:val="00E77EB6"/>
    <w:rsid w:val="00E80693"/>
    <w:rsid w:val="00E81762"/>
    <w:rsid w:val="00E825AE"/>
    <w:rsid w:val="00EA7BC7"/>
    <w:rsid w:val="00EB4751"/>
    <w:rsid w:val="00EC0800"/>
    <w:rsid w:val="00EC524F"/>
    <w:rsid w:val="00EE1699"/>
    <w:rsid w:val="00EE1C95"/>
    <w:rsid w:val="00F13902"/>
    <w:rsid w:val="00F41495"/>
    <w:rsid w:val="00F55EB1"/>
    <w:rsid w:val="00F6511B"/>
    <w:rsid w:val="00F82040"/>
    <w:rsid w:val="00F843F8"/>
    <w:rsid w:val="00F854C5"/>
    <w:rsid w:val="00F86512"/>
    <w:rsid w:val="00F95188"/>
    <w:rsid w:val="00F96581"/>
    <w:rsid w:val="00FB186F"/>
    <w:rsid w:val="00FF1324"/>
    <w:rsid w:val="0B164FD3"/>
    <w:rsid w:val="0B6A568A"/>
    <w:rsid w:val="106C26F0"/>
    <w:rsid w:val="119AC490"/>
    <w:rsid w:val="14E59D0F"/>
    <w:rsid w:val="22DAD121"/>
    <w:rsid w:val="2535BF22"/>
    <w:rsid w:val="2652B8B0"/>
    <w:rsid w:val="27B94DCE"/>
    <w:rsid w:val="2A61C83C"/>
    <w:rsid w:val="2C7B2427"/>
    <w:rsid w:val="2EE279A7"/>
    <w:rsid w:val="3B44FA22"/>
    <w:rsid w:val="3BBF7696"/>
    <w:rsid w:val="3C045CDD"/>
    <w:rsid w:val="42F7F17E"/>
    <w:rsid w:val="48B9DCAB"/>
    <w:rsid w:val="4A40A34E"/>
    <w:rsid w:val="4B63FD18"/>
    <w:rsid w:val="4F608902"/>
    <w:rsid w:val="51DB90C9"/>
    <w:rsid w:val="5245EE2F"/>
    <w:rsid w:val="5318D431"/>
    <w:rsid w:val="55C64EB8"/>
    <w:rsid w:val="566F67D2"/>
    <w:rsid w:val="572C36A9"/>
    <w:rsid w:val="574FBA47"/>
    <w:rsid w:val="57DFF2FB"/>
    <w:rsid w:val="57FD1119"/>
    <w:rsid w:val="5DD17465"/>
    <w:rsid w:val="5E3EF950"/>
    <w:rsid w:val="5EE42A26"/>
    <w:rsid w:val="6243F5DD"/>
    <w:rsid w:val="6286A6A9"/>
    <w:rsid w:val="64CB200D"/>
    <w:rsid w:val="64EA1E48"/>
    <w:rsid w:val="64F2A4E0"/>
    <w:rsid w:val="65649951"/>
    <w:rsid w:val="67992E0C"/>
    <w:rsid w:val="6D0EF5B9"/>
    <w:rsid w:val="6F7AAD81"/>
    <w:rsid w:val="706287DA"/>
    <w:rsid w:val="70BD96BA"/>
    <w:rsid w:val="7212F7A9"/>
    <w:rsid w:val="726F8263"/>
    <w:rsid w:val="76C52A48"/>
    <w:rsid w:val="795ECC01"/>
    <w:rsid w:val="7C8FD6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1CC60"/>
  <w15:chartTrackingRefBased/>
  <w15:docId w15:val="{059A9D21-9389-418B-B6FA-38B24690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BAA"/>
    <w:pPr>
      <w:jc w:val="both"/>
    </w:pPr>
  </w:style>
  <w:style w:type="paragraph" w:styleId="Titre1">
    <w:name w:val="heading 1"/>
    <w:basedOn w:val="Normal"/>
    <w:next w:val="Normal"/>
    <w:link w:val="Titre1Car"/>
    <w:uiPriority w:val="9"/>
    <w:qFormat/>
    <w:rsid w:val="00E01FE8"/>
    <w:pPr>
      <w:keepNext/>
      <w:keepLines/>
      <w:pBdr>
        <w:bottom w:val="single" w:sz="36" w:space="1" w:color="A6A6A6"/>
      </w:pBdr>
      <w:spacing w:before="400" w:after="400" w:line="276" w:lineRule="auto"/>
      <w:ind w:left="-284"/>
      <w:outlineLvl w:val="0"/>
    </w:pPr>
    <w:rPr>
      <w:rFonts w:ascii="Source Sans Pro SemiBold" w:eastAsia="MS Gothic" w:hAnsi="Source Sans Pro SemiBold" w:cs="Times New Roman (Titres CS)"/>
      <w:bCs/>
      <w:color w:val="262626"/>
      <w:sz w:val="40"/>
      <w:szCs w:val="32"/>
      <w:lang w:val="fr-FR" w:eastAsia="fr-FR"/>
    </w:rPr>
  </w:style>
  <w:style w:type="paragraph" w:styleId="Titre2">
    <w:name w:val="heading 2"/>
    <w:basedOn w:val="Normal"/>
    <w:next w:val="Normal"/>
    <w:link w:val="Titre2Car"/>
    <w:uiPriority w:val="9"/>
    <w:unhideWhenUsed/>
    <w:qFormat/>
    <w:rsid w:val="00E01FE8"/>
    <w:pPr>
      <w:keepNext/>
      <w:keepLines/>
      <w:spacing w:before="40" w:after="0"/>
      <w:outlineLvl w:val="1"/>
    </w:pPr>
    <w:rPr>
      <w:rFonts w:ascii="Source Sans Pro SemiBold" w:eastAsia="MS Gothic" w:hAnsi="Source Sans Pro SemiBold" w:cs="Times New Roman"/>
      <w:bCs/>
      <w:color w:val="000000"/>
      <w:sz w:val="36"/>
      <w:szCs w:val="26"/>
      <w:lang w:val="fr-FR" w:eastAsia="fr-FR"/>
    </w:rPr>
  </w:style>
  <w:style w:type="paragraph" w:styleId="Titre3">
    <w:name w:val="heading 3"/>
    <w:basedOn w:val="Normal"/>
    <w:next w:val="Normal"/>
    <w:link w:val="Titre3Car"/>
    <w:uiPriority w:val="9"/>
    <w:unhideWhenUsed/>
    <w:qFormat/>
    <w:rsid w:val="00E01FE8"/>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01FE8"/>
    <w:pPr>
      <w:spacing w:after="0" w:line="240" w:lineRule="auto"/>
      <w:contextualSpacing/>
      <w:jc w:val="center"/>
    </w:pPr>
    <w:rPr>
      <w:rFonts w:asciiTheme="majorHAnsi" w:eastAsiaTheme="majorEastAsia" w:hAnsiTheme="majorHAnsi" w:cstheme="majorBidi"/>
      <w:spacing w:val="-10"/>
      <w:kern w:val="28"/>
      <w:sz w:val="52"/>
      <w:szCs w:val="52"/>
    </w:rPr>
  </w:style>
  <w:style w:type="character" w:customStyle="1" w:styleId="TitreCar">
    <w:name w:val="Titre Car"/>
    <w:basedOn w:val="Policepardfaut"/>
    <w:link w:val="Titre"/>
    <w:uiPriority w:val="10"/>
    <w:rsid w:val="00AB29E3"/>
    <w:rPr>
      <w:rFonts w:asciiTheme="majorHAnsi" w:eastAsiaTheme="majorEastAsia" w:hAnsiTheme="majorHAnsi" w:cstheme="majorBidi"/>
      <w:spacing w:val="-10"/>
      <w:kern w:val="28"/>
      <w:sz w:val="52"/>
      <w:szCs w:val="52"/>
    </w:rPr>
  </w:style>
  <w:style w:type="character" w:styleId="Lienhypertexte">
    <w:name w:val="Hyperlink"/>
    <w:basedOn w:val="Policepardfaut"/>
    <w:uiPriority w:val="99"/>
    <w:unhideWhenUsed/>
    <w:rsid w:val="00B43974"/>
    <w:rPr>
      <w:color w:val="0563C1" w:themeColor="hyperlink"/>
      <w:u w:val="single"/>
    </w:rPr>
  </w:style>
  <w:style w:type="character" w:styleId="Mentionnonrsolue">
    <w:name w:val="Unresolved Mention"/>
    <w:basedOn w:val="Policepardfaut"/>
    <w:uiPriority w:val="99"/>
    <w:semiHidden/>
    <w:unhideWhenUsed/>
    <w:rsid w:val="00B43974"/>
    <w:rPr>
      <w:color w:val="605E5C"/>
      <w:shd w:val="clear" w:color="auto" w:fill="E1DFDD"/>
    </w:rPr>
  </w:style>
  <w:style w:type="character" w:customStyle="1" w:styleId="Titre1Car">
    <w:name w:val="Titre 1 Car"/>
    <w:basedOn w:val="Policepardfaut"/>
    <w:link w:val="Titre1"/>
    <w:uiPriority w:val="9"/>
    <w:rsid w:val="00282EE1"/>
    <w:rPr>
      <w:rFonts w:ascii="Source Sans Pro SemiBold" w:eastAsia="MS Gothic" w:hAnsi="Source Sans Pro SemiBold" w:cs="Times New Roman (Titres CS)"/>
      <w:bCs/>
      <w:color w:val="262626"/>
      <w:sz w:val="40"/>
      <w:szCs w:val="32"/>
      <w:lang w:val="fr-FR" w:eastAsia="fr-FR"/>
    </w:rPr>
  </w:style>
  <w:style w:type="paragraph" w:styleId="Paragraphedeliste">
    <w:name w:val="List Paragraph"/>
    <w:basedOn w:val="Normal"/>
    <w:uiPriority w:val="34"/>
    <w:qFormat/>
    <w:rsid w:val="00D961A1"/>
    <w:pPr>
      <w:ind w:left="720"/>
      <w:contextualSpacing/>
    </w:pPr>
  </w:style>
  <w:style w:type="character" w:customStyle="1" w:styleId="Titre2Car">
    <w:name w:val="Titre 2 Car"/>
    <w:basedOn w:val="Policepardfaut"/>
    <w:link w:val="Titre2"/>
    <w:uiPriority w:val="9"/>
    <w:rsid w:val="00762C9B"/>
    <w:rPr>
      <w:rFonts w:ascii="Source Sans Pro SemiBold" w:eastAsia="MS Gothic" w:hAnsi="Source Sans Pro SemiBold" w:cs="Times New Roman"/>
      <w:bCs/>
      <w:color w:val="000000"/>
      <w:sz w:val="36"/>
      <w:szCs w:val="26"/>
      <w:lang w:val="fr-FR" w:eastAsia="fr-FR"/>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571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71EF"/>
    <w:rPr>
      <w:rFonts w:ascii="Segoe UI" w:hAnsi="Segoe UI" w:cs="Segoe UI"/>
      <w:sz w:val="18"/>
      <w:szCs w:val="18"/>
    </w:rPr>
  </w:style>
  <w:style w:type="character" w:customStyle="1" w:styleId="Titre3Car">
    <w:name w:val="Titre 3 Car"/>
    <w:basedOn w:val="Policepardfaut"/>
    <w:link w:val="Titre3"/>
    <w:uiPriority w:val="9"/>
    <w:rsid w:val="00F13902"/>
    <w:rPr>
      <w:rFonts w:asciiTheme="majorHAnsi" w:eastAsiaTheme="majorEastAsia" w:hAnsiTheme="majorHAnsi" w:cstheme="majorBidi"/>
      <w:color w:val="404040" w:themeColor="text1" w:themeTint="BF"/>
      <w:sz w:val="24"/>
      <w:szCs w:val="24"/>
    </w:rPr>
  </w:style>
  <w:style w:type="paragraph" w:styleId="Objetducommentaire">
    <w:name w:val="annotation subject"/>
    <w:basedOn w:val="Commentaire"/>
    <w:next w:val="Commentaire"/>
    <w:link w:val="ObjetducommentaireCar"/>
    <w:uiPriority w:val="99"/>
    <w:semiHidden/>
    <w:unhideWhenUsed/>
    <w:rsid w:val="00E043DE"/>
    <w:rPr>
      <w:b/>
      <w:bCs/>
    </w:rPr>
  </w:style>
  <w:style w:type="character" w:customStyle="1" w:styleId="ObjetducommentaireCar">
    <w:name w:val="Objet du commentaire Car"/>
    <w:basedOn w:val="CommentaireCar"/>
    <w:link w:val="Objetducommentaire"/>
    <w:uiPriority w:val="99"/>
    <w:semiHidden/>
    <w:rsid w:val="00E043DE"/>
    <w:rPr>
      <w:b/>
      <w:bCs/>
      <w:sz w:val="20"/>
      <w:szCs w:val="20"/>
    </w:rPr>
  </w:style>
  <w:style w:type="paragraph" w:styleId="Pieddepage">
    <w:name w:val="footer"/>
    <w:basedOn w:val="Normal"/>
    <w:link w:val="PieddepageCar"/>
    <w:uiPriority w:val="99"/>
    <w:unhideWhenUsed/>
    <w:rsid w:val="00C305DD"/>
    <w:pPr>
      <w:tabs>
        <w:tab w:val="center" w:pos="4320"/>
        <w:tab w:val="right" w:pos="8640"/>
      </w:tabs>
      <w:spacing w:after="0" w:line="288" w:lineRule="auto"/>
    </w:pPr>
    <w:rPr>
      <w:rFonts w:eastAsiaTheme="minorEastAsia" w:cs="Times New Roman (Corps CS)"/>
      <w:color w:val="262626" w:themeColor="text1" w:themeTint="D9"/>
      <w:szCs w:val="24"/>
      <w:lang w:val="fr-FR" w:eastAsia="fr-FR"/>
    </w:rPr>
  </w:style>
  <w:style w:type="character" w:customStyle="1" w:styleId="PieddepageCar">
    <w:name w:val="Pied de page Car"/>
    <w:basedOn w:val="Policepardfaut"/>
    <w:link w:val="Pieddepage"/>
    <w:uiPriority w:val="99"/>
    <w:rsid w:val="00C305DD"/>
    <w:rPr>
      <w:rFonts w:eastAsiaTheme="minorEastAsia" w:cs="Times New Roman (Corps CS)"/>
      <w:color w:val="262626" w:themeColor="text1" w:themeTint="D9"/>
      <w:szCs w:val="24"/>
      <w:lang w:val="fr-FR" w:eastAsia="fr-FR"/>
    </w:rPr>
  </w:style>
  <w:style w:type="table" w:styleId="Grilledutableau">
    <w:name w:val="Table Grid"/>
    <w:basedOn w:val="TableauNormal"/>
    <w:uiPriority w:val="59"/>
    <w:rsid w:val="00C305DD"/>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C305DD"/>
  </w:style>
  <w:style w:type="paragraph" w:customStyle="1" w:styleId="Pieddepage1">
    <w:name w:val="Pied de page1"/>
    <w:basedOn w:val="Default"/>
    <w:link w:val="FooterCar"/>
    <w:rsid w:val="00C305DD"/>
    <w:rPr>
      <w:rFonts w:eastAsiaTheme="minorEastAsia"/>
      <w:color w:val="A6A6A6" w:themeColor="background1" w:themeShade="A6"/>
      <w:sz w:val="16"/>
      <w:szCs w:val="24"/>
      <w:lang w:val="fr-FR" w:eastAsia="fr-FR"/>
    </w:rPr>
  </w:style>
  <w:style w:type="character" w:customStyle="1" w:styleId="DefaultCar">
    <w:name w:val="Default Car"/>
    <w:basedOn w:val="Policepardfaut"/>
    <w:link w:val="Default"/>
    <w:rsid w:val="00C305DD"/>
    <w:rPr>
      <w:rFonts w:cs="Calibri"/>
      <w:color w:val="000000"/>
    </w:rPr>
  </w:style>
  <w:style w:type="character" w:customStyle="1" w:styleId="FooterCar">
    <w:name w:val="Footer Car"/>
    <w:basedOn w:val="DefaultCar"/>
    <w:link w:val="Pieddepage1"/>
    <w:rsid w:val="00C305DD"/>
    <w:rPr>
      <w:rFonts w:eastAsiaTheme="minorEastAsia" w:cs="Calibri"/>
      <w:color w:val="A6A6A6" w:themeColor="background1" w:themeShade="A6"/>
      <w:sz w:val="16"/>
      <w:szCs w:val="24"/>
      <w:lang w:val="fr-FR" w:eastAsia="fr-FR"/>
    </w:rPr>
  </w:style>
  <w:style w:type="paragraph" w:customStyle="1" w:styleId="Default">
    <w:name w:val="Default"/>
    <w:link w:val="DefaultCar"/>
    <w:rsid w:val="00C305DD"/>
    <w:pPr>
      <w:widowControl w:val="0"/>
      <w:autoSpaceDE w:val="0"/>
      <w:autoSpaceDN w:val="0"/>
      <w:adjustRightInd w:val="0"/>
      <w:spacing w:after="0" w:line="276" w:lineRule="auto"/>
    </w:pPr>
    <w:rPr>
      <w:rFonts w:cs="Calibri"/>
      <w:color w:val="000000"/>
    </w:rPr>
  </w:style>
  <w:style w:type="paragraph" w:styleId="En-tte">
    <w:name w:val="header"/>
    <w:basedOn w:val="Normal"/>
    <w:link w:val="En-tteCar"/>
    <w:uiPriority w:val="99"/>
    <w:unhideWhenUsed/>
    <w:rsid w:val="009A2E09"/>
    <w:pPr>
      <w:tabs>
        <w:tab w:val="center" w:pos="4320"/>
        <w:tab w:val="right" w:pos="8640"/>
      </w:tabs>
      <w:spacing w:after="0" w:line="240" w:lineRule="auto"/>
    </w:pPr>
  </w:style>
  <w:style w:type="character" w:customStyle="1" w:styleId="En-tteCar">
    <w:name w:val="En-tête Car"/>
    <w:basedOn w:val="Policepardfaut"/>
    <w:link w:val="En-tte"/>
    <w:uiPriority w:val="99"/>
    <w:rsid w:val="009A2E09"/>
  </w:style>
  <w:style w:type="paragraph" w:styleId="TM1">
    <w:name w:val="toc 1"/>
    <w:basedOn w:val="Normal"/>
    <w:next w:val="Normal"/>
    <w:autoRedefine/>
    <w:uiPriority w:val="39"/>
    <w:unhideWhenUsed/>
    <w:rsid w:val="00E01FE8"/>
    <w:pPr>
      <w:spacing w:after="100"/>
    </w:pPr>
  </w:style>
  <w:style w:type="paragraph" w:styleId="TM2">
    <w:name w:val="toc 2"/>
    <w:basedOn w:val="Normal"/>
    <w:next w:val="Normal"/>
    <w:autoRedefine/>
    <w:uiPriority w:val="39"/>
    <w:unhideWhenUsed/>
    <w:rsid w:val="00E01FE8"/>
    <w:pPr>
      <w:spacing w:after="100"/>
      <w:ind w:left="220"/>
    </w:pPr>
  </w:style>
  <w:style w:type="character" w:customStyle="1" w:styleId="Mentionnonrsolue1">
    <w:name w:val="Mention non résolue1"/>
    <w:basedOn w:val="Policepardfaut"/>
    <w:uiPriority w:val="99"/>
    <w:semiHidden/>
    <w:unhideWhenUsed/>
    <w:rsid w:val="00E01FE8"/>
    <w:rPr>
      <w:color w:val="605E5C"/>
      <w:shd w:val="clear" w:color="auto" w:fill="E1DFDD"/>
    </w:rPr>
  </w:style>
  <w:style w:type="character" w:styleId="Lienhypertextesuivivisit">
    <w:name w:val="FollowedHyperlink"/>
    <w:basedOn w:val="Policepardfaut"/>
    <w:uiPriority w:val="99"/>
    <w:semiHidden/>
    <w:unhideWhenUsed/>
    <w:rsid w:val="00E01FE8"/>
    <w:rPr>
      <w:color w:val="954F72" w:themeColor="followedHyperlink"/>
      <w:u w:val="single"/>
    </w:rPr>
  </w:style>
  <w:style w:type="paragraph" w:styleId="Notedebasdepage">
    <w:name w:val="footnote text"/>
    <w:basedOn w:val="Normal"/>
    <w:link w:val="NotedebasdepageCar"/>
    <w:uiPriority w:val="99"/>
    <w:unhideWhenUsed/>
    <w:rsid w:val="00E01FE8"/>
    <w:pPr>
      <w:spacing w:after="0" w:line="240" w:lineRule="auto"/>
    </w:pPr>
    <w:rPr>
      <w:sz w:val="20"/>
      <w:szCs w:val="20"/>
    </w:rPr>
  </w:style>
  <w:style w:type="character" w:customStyle="1" w:styleId="NotedebasdepageCar">
    <w:name w:val="Note de bas de page Car"/>
    <w:basedOn w:val="Policepardfaut"/>
    <w:link w:val="Notedebasdepage"/>
    <w:uiPriority w:val="99"/>
    <w:rsid w:val="00E01FE8"/>
    <w:rPr>
      <w:sz w:val="20"/>
      <w:szCs w:val="20"/>
    </w:rPr>
  </w:style>
  <w:style w:type="character" w:styleId="Appelnotedebasdep">
    <w:name w:val="footnote reference"/>
    <w:basedOn w:val="Policepardfaut"/>
    <w:uiPriority w:val="99"/>
    <w:semiHidden/>
    <w:unhideWhenUsed/>
    <w:rsid w:val="00E01FE8"/>
    <w:rPr>
      <w:vertAlign w:val="superscript"/>
    </w:rPr>
  </w:style>
  <w:style w:type="paragraph" w:styleId="En-ttedetabledesmatires">
    <w:name w:val="TOC Heading"/>
    <w:basedOn w:val="Titre1"/>
    <w:next w:val="Normal"/>
    <w:uiPriority w:val="39"/>
    <w:unhideWhenUsed/>
    <w:qFormat/>
    <w:rsid w:val="00E01FE8"/>
    <w:pPr>
      <w:pBdr>
        <w:bottom w:val="none" w:sz="0" w:space="0" w:color="auto"/>
      </w:pBdr>
      <w:spacing w:before="240" w:after="0" w:line="259" w:lineRule="auto"/>
      <w:ind w:left="0"/>
      <w:outlineLvl w:val="9"/>
    </w:pPr>
    <w:rPr>
      <w:rFonts w:asciiTheme="majorHAnsi" w:eastAsiaTheme="majorEastAsia" w:hAnsiTheme="majorHAnsi" w:cstheme="majorBidi"/>
      <w:bCs w:val="0"/>
      <w:color w:val="2F5496" w:themeColor="accent1" w:themeShade="BF"/>
      <w:sz w:val="32"/>
      <w:lang w:val="fr-CA" w:eastAsia="fr-CA"/>
    </w:rPr>
  </w:style>
  <w:style w:type="paragraph" w:styleId="TM3">
    <w:name w:val="toc 3"/>
    <w:basedOn w:val="Normal"/>
    <w:next w:val="Normal"/>
    <w:autoRedefine/>
    <w:uiPriority w:val="39"/>
    <w:unhideWhenUsed/>
    <w:rsid w:val="00E01FE8"/>
    <w:pPr>
      <w:spacing w:after="100"/>
      <w:ind w:left="440"/>
    </w:pPr>
    <w:rPr>
      <w:rFonts w:eastAsiaTheme="minorEastAsia" w:cs="Times New Roman"/>
      <w:lang w:eastAsia="fr-CA"/>
    </w:rPr>
  </w:style>
  <w:style w:type="paragraph" w:styleId="Rvision">
    <w:name w:val="Revision"/>
    <w:hidden/>
    <w:uiPriority w:val="99"/>
    <w:semiHidden/>
    <w:rsid w:val="00E01FE8"/>
    <w:pPr>
      <w:spacing w:after="0" w:line="240" w:lineRule="auto"/>
    </w:pPr>
  </w:style>
  <w:style w:type="paragraph" w:styleId="NormalWeb">
    <w:name w:val="Normal (Web)"/>
    <w:basedOn w:val="Normal"/>
    <w:uiPriority w:val="99"/>
    <w:unhideWhenUsed/>
    <w:rsid w:val="009E655C"/>
    <w:pPr>
      <w:spacing w:before="100" w:beforeAutospacing="1" w:after="100" w:afterAutospacing="1" w:line="240" w:lineRule="auto"/>
      <w:jc w:val="left"/>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sesh@aide.ulaval.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urce Sans UL">
      <a:majorFont>
        <a:latin typeface="Source Sans Pro Semibold"/>
        <a:ea typeface=""/>
        <a:cs typeface=""/>
      </a:majorFont>
      <a:minorFont>
        <a:latin typeface="Source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A31C2B36A2D46A51979C48CDF4329" ma:contentTypeVersion="10" ma:contentTypeDescription="Create a new document." ma:contentTypeScope="" ma:versionID="2c659722f57baa62a3d1158e46ae40dc">
  <xsd:schema xmlns:xsd="http://www.w3.org/2001/XMLSchema" xmlns:xs="http://www.w3.org/2001/XMLSchema" xmlns:p="http://schemas.microsoft.com/office/2006/metadata/properties" xmlns:ns3="c49f84a7-e04d-49cc-8ee2-4a7ba0bae80d" xmlns:ns4="a87f8d24-53ab-49ff-8466-a7f109d0f8fa" targetNamespace="http://schemas.microsoft.com/office/2006/metadata/properties" ma:root="true" ma:fieldsID="c845c067f7cb16049e5198fc4dcd0237" ns3:_="" ns4:_="">
    <xsd:import namespace="c49f84a7-e04d-49cc-8ee2-4a7ba0bae80d"/>
    <xsd:import namespace="a87f8d24-53ab-49ff-8466-a7f109d0f8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84a7-e04d-49cc-8ee2-4a7ba0bae8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f8d24-53ab-49ff-8466-a7f109d0f8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7124-BE34-43A3-86AF-ED33E0FD0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84a7-e04d-49cc-8ee2-4a7ba0bae80d"/>
    <ds:schemaRef ds:uri="a87f8d24-53ab-49ff-8466-a7f109d0f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4836A-AD33-42DE-8C25-C43738B5D943}">
  <ds:schemaRefs>
    <ds:schemaRef ds:uri="c49f84a7-e04d-49cc-8ee2-4a7ba0bae80d"/>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a87f8d24-53ab-49ff-8466-a7f109d0f8fa"/>
    <ds:schemaRef ds:uri="http://www.w3.org/XML/1998/namespace"/>
  </ds:schemaRefs>
</ds:datastoreItem>
</file>

<file path=customXml/itemProps3.xml><?xml version="1.0" encoding="utf-8"?>
<ds:datastoreItem xmlns:ds="http://schemas.openxmlformats.org/officeDocument/2006/customXml" ds:itemID="{6F863AA4-5A38-4663-A85B-9CE3F5E64D80}">
  <ds:schemaRefs>
    <ds:schemaRef ds:uri="http://schemas.microsoft.com/sharepoint/v3/contenttype/forms"/>
  </ds:schemaRefs>
</ds:datastoreItem>
</file>

<file path=customXml/itemProps4.xml><?xml version="1.0" encoding="utf-8"?>
<ds:datastoreItem xmlns:ds="http://schemas.openxmlformats.org/officeDocument/2006/customXml" ds:itemID="{186DA1CE-1157-4C46-AB26-5063C791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3947</CharactersWithSpaces>
  <SharedDoc>false</SharedDoc>
  <HLinks>
    <vt:vector size="66" baseType="variant">
      <vt:variant>
        <vt:i4>3604534</vt:i4>
      </vt:variant>
      <vt:variant>
        <vt:i4>63</vt:i4>
      </vt:variant>
      <vt:variant>
        <vt:i4>0</vt:i4>
      </vt:variant>
      <vt:variant>
        <vt:i4>5</vt:i4>
      </vt:variant>
      <vt:variant>
        <vt:lpwstr>http://www.enseigner.ulaval.ca/nous-joindre</vt:lpwstr>
      </vt:variant>
      <vt:variant>
        <vt:lpwstr/>
      </vt:variant>
      <vt:variant>
        <vt:i4>6357109</vt:i4>
      </vt:variant>
      <vt:variant>
        <vt:i4>60</vt:i4>
      </vt:variant>
      <vt:variant>
        <vt:i4>0</vt:i4>
      </vt:variant>
      <vt:variant>
        <vt:i4>5</vt:i4>
      </vt:variant>
      <vt:variant>
        <vt:lpwstr>https://zoom.us/profile/setting</vt:lpwstr>
      </vt:variant>
      <vt:variant>
        <vt:lpwstr/>
      </vt:variant>
      <vt:variant>
        <vt:i4>6357109</vt:i4>
      </vt:variant>
      <vt:variant>
        <vt:i4>57</vt:i4>
      </vt:variant>
      <vt:variant>
        <vt:i4>0</vt:i4>
      </vt:variant>
      <vt:variant>
        <vt:i4>5</vt:i4>
      </vt:variant>
      <vt:variant>
        <vt:lpwstr>https://zoom.us/profile/setting</vt:lpwstr>
      </vt:variant>
      <vt:variant>
        <vt:lpwstr/>
      </vt:variant>
      <vt:variant>
        <vt:i4>6357109</vt:i4>
      </vt:variant>
      <vt:variant>
        <vt:i4>54</vt:i4>
      </vt:variant>
      <vt:variant>
        <vt:i4>0</vt:i4>
      </vt:variant>
      <vt:variant>
        <vt:i4>5</vt:i4>
      </vt:variant>
      <vt:variant>
        <vt:lpwstr>https://zoom.us/profile/setting</vt:lpwstr>
      </vt:variant>
      <vt:variant>
        <vt:lpwstr/>
      </vt:variant>
      <vt:variant>
        <vt:i4>6357109</vt:i4>
      </vt:variant>
      <vt:variant>
        <vt:i4>51</vt:i4>
      </vt:variant>
      <vt:variant>
        <vt:i4>0</vt:i4>
      </vt:variant>
      <vt:variant>
        <vt:i4>5</vt:i4>
      </vt:variant>
      <vt:variant>
        <vt:lpwstr>https://zoom.us/profile/setting</vt:lpwstr>
      </vt:variant>
      <vt:variant>
        <vt:lpwstr/>
      </vt:variant>
      <vt:variant>
        <vt:i4>1703951</vt:i4>
      </vt:variant>
      <vt:variant>
        <vt:i4>48</vt:i4>
      </vt:variant>
      <vt:variant>
        <vt:i4>0</vt:i4>
      </vt:variant>
      <vt:variant>
        <vt:i4>5</vt:i4>
      </vt:variant>
      <vt:variant>
        <vt:lpwstr>https://support.zoom.us/hc/en-us/articles/202828525-Join-Before-Host</vt:lpwstr>
      </vt:variant>
      <vt:variant>
        <vt:lpwstr/>
      </vt:variant>
      <vt:variant>
        <vt:i4>65549</vt:i4>
      </vt:variant>
      <vt:variant>
        <vt:i4>45</vt:i4>
      </vt:variant>
      <vt:variant>
        <vt:i4>0</vt:i4>
      </vt:variant>
      <vt:variant>
        <vt:i4>5</vt:i4>
      </vt:variant>
      <vt:variant>
        <vt:lpwstr>https://support.zoom.us/hc/en-us/articles/360033559832-Meeting-and-Webinar-Passwords</vt:lpwstr>
      </vt:variant>
      <vt:variant>
        <vt:lpwstr/>
      </vt:variant>
      <vt:variant>
        <vt:i4>2228346</vt:i4>
      </vt:variant>
      <vt:variant>
        <vt:i4>42</vt:i4>
      </vt:variant>
      <vt:variant>
        <vt:i4>0</vt:i4>
      </vt:variant>
      <vt:variant>
        <vt:i4>5</vt:i4>
      </vt:variant>
      <vt:variant>
        <vt:lpwstr>https://support.zoom.us/hc/en-us/articles/201362413-Scheduling-meetings</vt:lpwstr>
      </vt:variant>
      <vt:variant>
        <vt:lpwstr/>
      </vt:variant>
      <vt:variant>
        <vt:i4>6029387</vt:i4>
      </vt:variant>
      <vt:variant>
        <vt:i4>39</vt:i4>
      </vt:variant>
      <vt:variant>
        <vt:i4>0</vt:i4>
      </vt:variant>
      <vt:variant>
        <vt:i4>5</vt:i4>
      </vt:variant>
      <vt:variant>
        <vt:lpwstr>https://support.zoom.us/hc/en-us/articles/211579443-Registration-for-Meetings</vt:lpwstr>
      </vt:variant>
      <vt:variant>
        <vt:lpwstr/>
      </vt:variant>
      <vt:variant>
        <vt:i4>7667788</vt:i4>
      </vt:variant>
      <vt:variant>
        <vt:i4>36</vt:i4>
      </vt:variant>
      <vt:variant>
        <vt:i4>0</vt:i4>
      </vt:variant>
      <vt:variant>
        <vt:i4>5</vt:i4>
      </vt:variant>
      <vt:variant>
        <vt:lpwstr>https://zoom.us/download</vt:lpwstr>
      </vt:variant>
      <vt:variant>
        <vt:lpwstr>client_4meeting</vt:lpwstr>
      </vt:variant>
      <vt:variant>
        <vt:i4>1179668</vt:i4>
      </vt:variant>
      <vt:variant>
        <vt:i4>0</vt:i4>
      </vt:variant>
      <vt:variant>
        <vt:i4>0</vt:i4>
      </vt:variant>
      <vt:variant>
        <vt:i4>5</vt:i4>
      </vt:variant>
      <vt:variant>
        <vt:lpwstr>https://blog.zoom.us/wordpress/2020/03/27/best-practices-for-securing-your-virtual-classroom/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Plourde</dc:creator>
  <cp:keywords/>
  <dc:description/>
  <cp:lastModifiedBy>Marthe Giguère</cp:lastModifiedBy>
  <cp:revision>2</cp:revision>
  <dcterms:created xsi:type="dcterms:W3CDTF">2020-04-07T19:30:00Z</dcterms:created>
  <dcterms:modified xsi:type="dcterms:W3CDTF">2020-04-07T19:30:00Z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0x010100389A31C2B36A2D46A51979C48CDF4329</vt:lpwstr>
  </property>
</Properties>
</file>